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BC2C0C">
      <w:pPr>
        <w:keepNext w:val="0"/>
        <w:keepLines w:val="0"/>
        <w:pageBreakBefore w:val="0"/>
        <w:kinsoku/>
        <w:wordWrap/>
        <w:overflowPunct/>
        <w:topLinePunct w:val="0"/>
        <w:bidi w:val="0"/>
        <w:adjustRightInd/>
        <w:snapToGrid/>
        <w:spacing w:line="288" w:lineRule="auto"/>
        <w:jc w:val="center"/>
        <w:textAlignment w:val="auto"/>
        <w:rPr>
          <w:b/>
          <w:sz w:val="21"/>
          <w:szCs w:val="21"/>
        </w:rPr>
      </w:pPr>
      <w:r>
        <w:rPr>
          <w:rFonts w:hint="eastAsia"/>
          <w:b/>
          <w:sz w:val="21"/>
          <w:szCs w:val="21"/>
        </w:rPr>
        <w:t>关于我校选拔2</w:t>
      </w:r>
      <w:r>
        <w:rPr>
          <w:b/>
          <w:sz w:val="21"/>
          <w:szCs w:val="21"/>
        </w:rPr>
        <w:t>026</w:t>
      </w:r>
      <w:r>
        <w:rPr>
          <w:rFonts w:hint="eastAsia"/>
          <w:b/>
          <w:sz w:val="21"/>
          <w:szCs w:val="21"/>
        </w:rPr>
        <w:t>年暑期悉尼大学“商务沟通与领导力“项目通知</w:t>
      </w:r>
    </w:p>
    <w:p w14:paraId="18A99057">
      <w:pPr>
        <w:keepNext w:val="0"/>
        <w:keepLines w:val="0"/>
        <w:pageBreakBefore w:val="0"/>
        <w:kinsoku/>
        <w:wordWrap/>
        <w:overflowPunct/>
        <w:topLinePunct w:val="0"/>
        <w:bidi w:val="0"/>
        <w:adjustRightInd/>
        <w:snapToGrid/>
        <w:spacing w:line="288" w:lineRule="auto"/>
        <w:textAlignment w:val="auto"/>
        <w:rPr>
          <w:sz w:val="21"/>
          <w:szCs w:val="21"/>
        </w:rPr>
      </w:pPr>
    </w:p>
    <w:p w14:paraId="47DE9D65">
      <w:pPr>
        <w:keepNext w:val="0"/>
        <w:keepLines w:val="0"/>
        <w:pageBreakBefore w:val="0"/>
        <w:shd w:val="clear" w:color="auto" w:fill="FFFFFF"/>
        <w:kinsoku/>
        <w:wordWrap/>
        <w:overflowPunct/>
        <w:topLinePunct w:val="0"/>
        <w:bidi w:val="0"/>
        <w:adjustRightInd/>
        <w:snapToGrid/>
        <w:spacing w:line="288" w:lineRule="auto"/>
        <w:ind w:firstLine="420" w:firstLineChars="200"/>
        <w:textAlignment w:val="auto"/>
        <w:rPr>
          <w:rFonts w:cs="Calibri"/>
          <w:sz w:val="21"/>
          <w:szCs w:val="21"/>
          <w:lang w:eastAsia="zh-TW"/>
        </w:rPr>
      </w:pPr>
      <w:r>
        <w:rPr>
          <w:rFonts w:hint="eastAsia" w:cs="Calibri"/>
          <w:sz w:val="21"/>
          <w:szCs w:val="21"/>
          <w:lang w:eastAsia="zh-TW"/>
        </w:rPr>
        <w:t>为实施我校国际化战略，帮助在校生有机会赴世界一流优质教学资源大学学习。为重点培养具有国际视野和国际竞争力的高素质人才，和部分同学毕业后赴世界一流大学或研究机构继续深造的目标，</w:t>
      </w:r>
      <w:r>
        <w:rPr>
          <w:rFonts w:hint="eastAsia" w:cs="Calibri"/>
          <w:sz w:val="21"/>
          <w:szCs w:val="21"/>
        </w:rPr>
        <w:t>特</w:t>
      </w:r>
      <w:r>
        <w:rPr>
          <w:rFonts w:hint="eastAsia" w:cs="Calibri"/>
          <w:sz w:val="21"/>
          <w:szCs w:val="21"/>
          <w:lang w:eastAsia="zh-TW"/>
        </w:rPr>
        <w:t>推荐学</w:t>
      </w:r>
      <w:r>
        <w:rPr>
          <w:rFonts w:hint="eastAsia"/>
          <w:sz w:val="21"/>
          <w:szCs w:val="21"/>
        </w:rPr>
        <w:t>生参加2</w:t>
      </w:r>
      <w:r>
        <w:rPr>
          <w:sz w:val="21"/>
          <w:szCs w:val="21"/>
        </w:rPr>
        <w:t>026</w:t>
      </w:r>
      <w:r>
        <w:rPr>
          <w:rFonts w:hint="eastAsia"/>
          <w:sz w:val="21"/>
          <w:szCs w:val="21"/>
        </w:rPr>
        <w:t>年暑期悉尼大学“商务沟通与领导力“</w:t>
      </w:r>
      <w:r>
        <w:rPr>
          <w:rFonts w:hint="eastAsia" w:cs="Calibri"/>
          <w:sz w:val="21"/>
          <w:szCs w:val="21"/>
          <w:lang w:eastAsia="zh-TW"/>
        </w:rPr>
        <w:t>项</w:t>
      </w:r>
      <w:r>
        <w:rPr>
          <w:rFonts w:cs="Calibri"/>
          <w:sz w:val="21"/>
          <w:szCs w:val="21"/>
          <w:lang w:eastAsia="zh-TW"/>
        </w:rPr>
        <w:t>目。同学们将获得</w:t>
      </w:r>
      <w:r>
        <w:rPr>
          <w:rFonts w:hint="eastAsia" w:cs="Calibri"/>
          <w:sz w:val="21"/>
          <w:szCs w:val="21"/>
        </w:rPr>
        <w:t>结业证书和成绩评定单，</w:t>
      </w:r>
      <w:r>
        <w:rPr>
          <w:rFonts w:cs="Calibri"/>
          <w:sz w:val="21"/>
          <w:szCs w:val="21"/>
          <w:lang w:eastAsia="zh-TW"/>
        </w:rPr>
        <w:t>为后续就业、</w:t>
      </w:r>
      <w:r>
        <w:rPr>
          <w:rFonts w:hint="eastAsia" w:cs="Calibri"/>
          <w:sz w:val="21"/>
          <w:szCs w:val="21"/>
          <w:lang w:eastAsia="zh-TW"/>
        </w:rPr>
        <w:t>海外学位深造</w:t>
      </w:r>
      <w:r>
        <w:rPr>
          <w:rFonts w:cs="Calibri"/>
          <w:sz w:val="21"/>
          <w:szCs w:val="21"/>
          <w:lang w:eastAsia="zh-TW"/>
        </w:rPr>
        <w:t>提供背景支持。现将相关事项通知如下：</w:t>
      </w:r>
    </w:p>
    <w:p w14:paraId="256E8BE9">
      <w:pPr>
        <w:keepNext w:val="0"/>
        <w:keepLines w:val="0"/>
        <w:pageBreakBefore w:val="0"/>
        <w:kinsoku/>
        <w:wordWrap/>
        <w:overflowPunct/>
        <w:topLinePunct w:val="0"/>
        <w:bidi w:val="0"/>
        <w:adjustRightInd/>
        <w:snapToGrid/>
        <w:spacing w:line="288" w:lineRule="auto"/>
        <w:textAlignment w:val="auto"/>
        <w:rPr>
          <w:sz w:val="21"/>
          <w:szCs w:val="21"/>
        </w:rPr>
      </w:pPr>
    </w:p>
    <w:p w14:paraId="55D9EE6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kern w:val="0"/>
          <w:sz w:val="21"/>
          <w:szCs w:val="21"/>
          <w:lang w:val="en-US"/>
          <w14:ligatures w14:val="none"/>
        </w:rPr>
      </w:pPr>
      <w:r>
        <w:rPr>
          <w:rFonts w:hint="eastAsia" w:ascii="宋体" w:hAnsi="宋体" w:eastAsia="宋体" w:cs="宋体"/>
          <w:b/>
          <w:kern w:val="0"/>
          <w:sz w:val="21"/>
          <w:szCs w:val="21"/>
          <w:lang w:val="en-US"/>
          <w14:ligatures w14:val="none"/>
        </w:rPr>
        <w:t>一、学校与城市介绍</w:t>
      </w:r>
    </w:p>
    <w:p w14:paraId="37CEA75A">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悉尼大学（The University of Sydney），始建于1850年，坐落于南半球金融、贸易与旅游中心，澳大利亚新南威尔士州首府悉尼，是一所世界顶尖研究型大学，也是砂岩学府、澳大利亚八校联盟、环太平洋大学联盟、世界大学联盟、英联邦大学协会、全球高校人工智能学术联盟、新工科教育国际联盟、亚太国际贸易教育暨研究联盟的成员。2026年QS世界大学排名第25位，校友包括7位诺贝尔奖或克拉福德奖得主、8位澳大利亚总理，卓越的学术成就享誉海内外，在商科、工程、建筑、医学、法律等专业上尤有建树。</w:t>
      </w:r>
    </w:p>
    <w:p w14:paraId="2A232493">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p>
    <w:p w14:paraId="42B17107">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悉尼：项目所在地为澳大利亚悉尼，悉尼是澳大利亚新南威尔士州的首府，也是澳大利亚面积最大、人口最多的城市，人口约503万。悉尼拥有高度发达的金融业、制造业和旅游业。其中，世界顶级跨国企业、国内外金融机构的总部均扎根悉尼。同时，悉尼也是澳大利亚证券交易所、澳大利亚储备银行及美国二十世纪福克斯制片厂的所在地。悉尼还是多项重要国际体育赛事的举办城市，曾举办过1938年英联邦运动会、2000年悉尼奥运会及2003年世界杯橄榄球赛。悉尼已连续多年被联合国人居署评为全球最宜居城市之一，并被GaWC评为2018年世界一线城市第七位。</w:t>
      </w:r>
    </w:p>
    <w:p w14:paraId="5E1077E7">
      <w:pPr>
        <w:keepNext w:val="0"/>
        <w:keepLines w:val="0"/>
        <w:pageBreakBefore w:val="0"/>
        <w:kinsoku/>
        <w:wordWrap/>
        <w:overflowPunct/>
        <w:topLinePunct w:val="0"/>
        <w:bidi w:val="0"/>
        <w:adjustRightInd/>
        <w:snapToGrid/>
        <w:spacing w:line="288" w:lineRule="auto"/>
        <w:textAlignment w:val="auto"/>
        <w:rPr>
          <w:b/>
          <w:bCs/>
          <w:sz w:val="21"/>
          <w:szCs w:val="21"/>
        </w:rPr>
      </w:pPr>
    </w:p>
    <w:p w14:paraId="7B7BC397">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bCs/>
          <w:kern w:val="0"/>
          <w:sz w:val="21"/>
          <w:szCs w:val="21"/>
          <w:lang w:val="en-US" w:eastAsia="zh-CN" w:bidi="ar-SA"/>
          <w14:ligatures w14:val="none"/>
        </w:rPr>
      </w:pPr>
      <w:r>
        <w:rPr>
          <w:rFonts w:hint="eastAsia" w:ascii="宋体" w:hAnsi="宋体" w:eastAsia="宋体" w:cs="宋体"/>
          <w:b/>
          <w:bCs/>
          <w:kern w:val="0"/>
          <w:sz w:val="21"/>
          <w:szCs w:val="21"/>
          <w:lang w:val="en-US" w:eastAsia="zh-CN" w:bidi="ar-SA"/>
          <w14:ligatures w14:val="none"/>
        </w:rPr>
        <w:t>二、项目优势</w:t>
      </w:r>
    </w:p>
    <w:p w14:paraId="313CD27B">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val="0"/>
          <w:bCs/>
          <w:kern w:val="0"/>
          <w:sz w:val="21"/>
          <w:szCs w:val="21"/>
          <w:lang w:val="en-US" w:eastAsia="zh-CN" w:bidi="ar-SA"/>
          <w14:ligatures w14:val="none"/>
        </w:rPr>
      </w:pPr>
      <w:r>
        <w:rPr>
          <w:rFonts w:hint="eastAsia" w:ascii="宋体" w:hAnsi="宋体" w:eastAsia="宋体" w:cs="宋体"/>
          <w:b/>
          <w:bCs w:val="0"/>
          <w:kern w:val="0"/>
          <w:sz w:val="21"/>
          <w:szCs w:val="21"/>
          <w:lang w:val="en-US" w:eastAsia="zh-CN" w:bidi="ar-SA"/>
          <w14:ligatures w14:val="none"/>
        </w:rPr>
        <w:t>1. 名校课程：</w:t>
      </w:r>
      <w:r>
        <w:rPr>
          <w:rFonts w:hint="eastAsia" w:ascii="宋体" w:hAnsi="宋体" w:eastAsia="宋体" w:cs="宋体"/>
          <w:b w:val="0"/>
          <w:bCs/>
          <w:kern w:val="0"/>
          <w:sz w:val="21"/>
          <w:szCs w:val="21"/>
          <w:lang w:val="en-US" w:eastAsia="zh-CN" w:bidi="ar-SA"/>
          <w14:ligatures w14:val="none"/>
        </w:rPr>
        <w:t>悉尼大学世界排名第25名，其教学质量与学术声誉享誉全球；</w:t>
      </w:r>
    </w:p>
    <w:p w14:paraId="2156B7D8">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val="0"/>
          <w:bCs/>
          <w:kern w:val="0"/>
          <w:sz w:val="21"/>
          <w:szCs w:val="21"/>
          <w:lang w:val="en-US" w:eastAsia="zh-CN" w:bidi="ar-SA"/>
          <w14:ligatures w14:val="none"/>
        </w:rPr>
      </w:pPr>
      <w:r>
        <w:rPr>
          <w:rFonts w:hint="eastAsia" w:ascii="宋体" w:hAnsi="宋体" w:eastAsia="宋体" w:cs="宋体"/>
          <w:b/>
          <w:bCs w:val="0"/>
          <w:kern w:val="0"/>
          <w:sz w:val="21"/>
          <w:szCs w:val="21"/>
          <w:lang w:val="en-US" w:eastAsia="zh-CN" w:bidi="ar-SA"/>
          <w14:ligatures w14:val="none"/>
        </w:rPr>
        <w:t>2. 小班课程：</w:t>
      </w:r>
      <w:r>
        <w:rPr>
          <w:rFonts w:hint="eastAsia" w:ascii="宋体" w:hAnsi="宋体" w:eastAsia="宋体" w:cs="宋体"/>
          <w:b w:val="0"/>
          <w:bCs/>
          <w:kern w:val="0"/>
          <w:sz w:val="21"/>
          <w:szCs w:val="21"/>
          <w:lang w:val="en-US" w:eastAsia="zh-CN" w:bidi="ar-SA"/>
          <w14:ligatures w14:val="none"/>
        </w:rPr>
        <w:t>小班授课，充分保证课堂的有效沟通与互动；</w:t>
      </w:r>
    </w:p>
    <w:p w14:paraId="4EFA0DD8">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val="0"/>
          <w:bCs/>
          <w:kern w:val="0"/>
          <w:sz w:val="21"/>
          <w:szCs w:val="21"/>
          <w:lang w:val="en-US" w:eastAsia="zh-CN" w:bidi="ar-SA"/>
          <w14:ligatures w14:val="none"/>
        </w:rPr>
      </w:pPr>
      <w:r>
        <w:rPr>
          <w:rFonts w:hint="eastAsia" w:ascii="宋体" w:hAnsi="宋体" w:eastAsia="宋体" w:cs="宋体"/>
          <w:b/>
          <w:bCs w:val="0"/>
          <w:kern w:val="0"/>
          <w:sz w:val="21"/>
          <w:szCs w:val="21"/>
          <w:lang w:val="en-US" w:eastAsia="zh-CN" w:bidi="ar-SA"/>
          <w14:ligatures w14:val="none"/>
        </w:rPr>
        <w:t>3. 生动有趣：</w:t>
      </w:r>
      <w:r>
        <w:rPr>
          <w:rFonts w:hint="eastAsia" w:ascii="宋体" w:hAnsi="宋体" w:eastAsia="宋体" w:cs="宋体"/>
          <w:b w:val="0"/>
          <w:bCs/>
          <w:kern w:val="0"/>
          <w:sz w:val="21"/>
          <w:szCs w:val="21"/>
          <w:lang w:val="en-US" w:eastAsia="zh-CN" w:bidi="ar-SA"/>
          <w14:ligatures w14:val="none"/>
        </w:rPr>
        <w:t>多种丰富有趣的互动形式将提升课堂趣味性；</w:t>
      </w:r>
    </w:p>
    <w:p w14:paraId="388BEA33">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val="0"/>
          <w:bCs/>
          <w:kern w:val="0"/>
          <w:sz w:val="21"/>
          <w:szCs w:val="21"/>
          <w:lang w:val="en-US" w:eastAsia="zh-CN" w:bidi="ar-SA"/>
          <w14:ligatures w14:val="none"/>
        </w:rPr>
      </w:pPr>
      <w:r>
        <w:rPr>
          <w:rFonts w:hint="eastAsia" w:ascii="宋体" w:hAnsi="宋体" w:eastAsia="宋体" w:cs="宋体"/>
          <w:b/>
          <w:bCs w:val="0"/>
          <w:kern w:val="0"/>
          <w:sz w:val="21"/>
          <w:szCs w:val="21"/>
          <w:lang w:val="en-US" w:eastAsia="zh-CN" w:bidi="ar-SA"/>
          <w14:ligatures w14:val="none"/>
        </w:rPr>
        <w:t>4. 学生为本：</w:t>
      </w:r>
      <w:r>
        <w:rPr>
          <w:rFonts w:hint="eastAsia" w:ascii="宋体" w:hAnsi="宋体" w:eastAsia="宋体" w:cs="宋体"/>
          <w:b w:val="0"/>
          <w:bCs/>
          <w:kern w:val="0"/>
          <w:sz w:val="21"/>
          <w:szCs w:val="21"/>
          <w:lang w:val="en-US" w:eastAsia="zh-CN" w:bidi="ar-SA"/>
          <w14:ligatures w14:val="none"/>
        </w:rPr>
        <w:t>以学生为中心，意味着所有活动的宗旨都在于最大限度地提高学生的兴趣和语言发展机会。学生们有大量的机会练习英语，并将他们的学习应用到自己的生活中；</w:t>
      </w:r>
    </w:p>
    <w:p w14:paraId="5420D14F">
      <w:pPr>
        <w:keepNext w:val="0"/>
        <w:keepLines w:val="0"/>
        <w:pageBreakBefore w:val="0"/>
        <w:kinsoku/>
        <w:wordWrap/>
        <w:overflowPunct/>
        <w:topLinePunct w:val="0"/>
        <w:bidi w:val="0"/>
        <w:adjustRightInd/>
        <w:snapToGrid/>
        <w:spacing w:line="288" w:lineRule="auto"/>
        <w:textAlignment w:val="auto"/>
        <w:rPr>
          <w:rFonts w:hint="eastAsia" w:ascii="宋体" w:hAnsi="宋体" w:eastAsia="宋体" w:cs="宋体"/>
          <w:b w:val="0"/>
          <w:bCs/>
          <w:kern w:val="0"/>
          <w:sz w:val="21"/>
          <w:szCs w:val="21"/>
          <w:lang w:val="en-US" w:eastAsia="zh-CN" w:bidi="ar-SA"/>
          <w14:ligatures w14:val="none"/>
        </w:rPr>
      </w:pPr>
      <w:r>
        <w:rPr>
          <w:rFonts w:hint="eastAsia" w:ascii="宋体" w:hAnsi="宋体" w:eastAsia="宋体" w:cs="宋体"/>
          <w:b/>
          <w:bCs w:val="0"/>
          <w:kern w:val="0"/>
          <w:sz w:val="21"/>
          <w:szCs w:val="21"/>
          <w:lang w:val="en-US" w:eastAsia="zh-CN" w:bidi="ar-SA"/>
          <w14:ligatures w14:val="none"/>
        </w:rPr>
        <w:t>5. 留学铺垫：</w:t>
      </w:r>
      <w:r>
        <w:rPr>
          <w:rFonts w:hint="eastAsia" w:ascii="宋体" w:hAnsi="宋体" w:eastAsia="宋体" w:cs="宋体"/>
          <w:b w:val="0"/>
          <w:bCs/>
          <w:kern w:val="0"/>
          <w:sz w:val="21"/>
          <w:szCs w:val="21"/>
          <w:lang w:val="en-US" w:eastAsia="zh-CN" w:bidi="ar-SA"/>
          <w14:ligatures w14:val="none"/>
        </w:rPr>
        <w:t>通过项目学习深入了解澳大利亚社会与文化，深度适应国外授课方式及课堂，为后续进一步出国深造打下良好基础。</w:t>
      </w:r>
    </w:p>
    <w:p w14:paraId="69E1181E">
      <w:pPr>
        <w:keepNext w:val="0"/>
        <w:keepLines w:val="0"/>
        <w:pageBreakBefore w:val="0"/>
        <w:kinsoku/>
        <w:wordWrap/>
        <w:overflowPunct/>
        <w:topLinePunct w:val="0"/>
        <w:bidi w:val="0"/>
        <w:adjustRightInd/>
        <w:snapToGrid/>
        <w:spacing w:line="288" w:lineRule="auto"/>
        <w:textAlignment w:val="auto"/>
        <w:rPr>
          <w:sz w:val="21"/>
          <w:szCs w:val="21"/>
        </w:rPr>
      </w:pPr>
    </w:p>
    <w:p w14:paraId="38F80A7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bCs w:val="0"/>
          <w:kern w:val="0"/>
          <w:sz w:val="21"/>
          <w:szCs w:val="21"/>
          <w:lang w:val="en-US"/>
          <w14:ligatures w14:val="none"/>
        </w:rPr>
      </w:pPr>
      <w:r>
        <w:rPr>
          <w:rFonts w:hint="eastAsia" w:ascii="宋体" w:hAnsi="宋体" w:eastAsia="宋体" w:cs="宋体"/>
          <w:b/>
          <w:bCs w:val="0"/>
          <w:kern w:val="0"/>
          <w:sz w:val="21"/>
          <w:szCs w:val="21"/>
          <w:lang w:val="en-US"/>
          <w14:ligatures w14:val="none"/>
        </w:rPr>
        <w:t>三、项目内容</w:t>
      </w:r>
    </w:p>
    <w:p w14:paraId="43A01BE7">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本项目是由澳大利亚顶级名校悉尼大学英语教学中心所设计的商务沟通与领导力课程。课程将重点提高学生们的国际商务环境所需的技能，重点是获取实用词汇、语言和沟通技巧，从而自信地使用英语进行商务活动。同时，课程将培养学生的跨文化交流能力、团队合作能力以及演讲能力。</w:t>
      </w:r>
    </w:p>
    <w:p w14:paraId="6672D9B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课程期间，将由悉尼大学进行统一学术管理与学术考核，项目结束后可获得悉尼大学颁发的项目结业证书及成绩评定单。此外，课程通过一系列生动有趣的小组讨论等互动形式，有效提升学生学习英语的兴趣以及实际运用能力，尤其对口语能力的提升非常显著。</w:t>
      </w:r>
    </w:p>
    <w:p w14:paraId="033C3D6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p>
    <w:p w14:paraId="3BDE1F5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bCs w:val="0"/>
          <w:kern w:val="0"/>
          <w:sz w:val="21"/>
          <w:szCs w:val="21"/>
          <w:lang w:val="en-US"/>
          <w14:ligatures w14:val="none"/>
        </w:rPr>
      </w:pPr>
      <w:r>
        <w:rPr>
          <w:rFonts w:hint="eastAsia" w:ascii="宋体" w:hAnsi="宋体" w:eastAsia="宋体" w:cs="宋体"/>
          <w:b/>
          <w:bCs w:val="0"/>
          <w:kern w:val="0"/>
          <w:sz w:val="21"/>
          <w:szCs w:val="21"/>
          <w:lang w:val="en-US"/>
          <w14:ligatures w14:val="none"/>
        </w:rPr>
        <w:t>专业课程：</w:t>
      </w:r>
    </w:p>
    <w:p w14:paraId="0B9B90F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bCs w:val="0"/>
          <w:kern w:val="0"/>
          <w:sz w:val="21"/>
          <w:szCs w:val="21"/>
          <w:lang w:val="en-US" w:eastAsia="zh-CN"/>
          <w14:ligatures w14:val="none"/>
        </w:rPr>
      </w:pPr>
      <w:r>
        <w:rPr>
          <w:rFonts w:hint="eastAsia" w:ascii="宋体" w:hAnsi="宋体" w:eastAsia="宋体" w:cs="宋体"/>
          <w:b/>
          <w:bCs w:val="0"/>
          <w:kern w:val="0"/>
          <w:sz w:val="21"/>
          <w:szCs w:val="21"/>
          <w:lang w:val="en-US" w:eastAsia="zh-CN"/>
          <w14:ligatures w14:val="none"/>
        </w:rPr>
        <w:t>【</w:t>
      </w:r>
      <w:r>
        <w:rPr>
          <w:rFonts w:hint="eastAsia" w:ascii="宋体" w:hAnsi="宋体" w:eastAsia="宋体" w:cs="宋体"/>
          <w:b/>
          <w:bCs w:val="0"/>
          <w:kern w:val="0"/>
          <w:sz w:val="21"/>
          <w:szCs w:val="21"/>
          <w:lang w:val="en-US"/>
          <w14:ligatures w14:val="none"/>
        </w:rPr>
        <w:t>提升沟通领导能力</w:t>
      </w:r>
      <w:r>
        <w:rPr>
          <w:rFonts w:hint="eastAsia" w:ascii="宋体" w:hAnsi="宋体" w:eastAsia="宋体" w:cs="宋体"/>
          <w:b/>
          <w:bCs w:val="0"/>
          <w:kern w:val="0"/>
          <w:sz w:val="21"/>
          <w:szCs w:val="21"/>
          <w:lang w:val="en-US" w:eastAsia="zh-CN"/>
          <w14:ligatures w14:val="none"/>
        </w:rPr>
        <w:t>】</w:t>
      </w:r>
    </w:p>
    <w:p w14:paraId="5BFC21F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不论学生来自哪个专业，未来都将走向职场。学会与人沟通及具备适当的领导能力，对于职业发展来说是必备的技能。通过该课程，学生可以了解世界各地商业环境中的文化差异，提高社交技巧，发展人际关系；识别并使用适当的词汇和语法形式来解决小组任务中的问题；识别和使用跨文化交流的策略、应用有效的协作策略；分析、讨论不同的领导风格；在各种专业环境中使用适当的词汇和语法形式，包括自我介绍、寻求帮助、给出建议、主持会议和解决冲突等。</w:t>
      </w:r>
    </w:p>
    <w:p w14:paraId="3A68F72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bCs w:val="0"/>
          <w:kern w:val="0"/>
          <w:sz w:val="21"/>
          <w:szCs w:val="21"/>
          <w:lang w:val="en-US" w:eastAsia="zh-CN"/>
          <w14:ligatures w14:val="none"/>
        </w:rPr>
      </w:pPr>
      <w:r>
        <w:rPr>
          <w:rFonts w:hint="eastAsia" w:ascii="宋体" w:hAnsi="宋体" w:eastAsia="宋体" w:cs="宋体"/>
          <w:b/>
          <w:bCs w:val="0"/>
          <w:kern w:val="0"/>
          <w:sz w:val="21"/>
          <w:szCs w:val="21"/>
          <w:lang w:val="en-US" w:eastAsia="zh-CN"/>
          <w14:ligatures w14:val="none"/>
        </w:rPr>
        <w:t>【</w:t>
      </w:r>
      <w:r>
        <w:rPr>
          <w:rFonts w:hint="eastAsia" w:ascii="宋体" w:hAnsi="宋体" w:eastAsia="宋体" w:cs="宋体"/>
          <w:b/>
          <w:bCs w:val="0"/>
          <w:kern w:val="0"/>
          <w:sz w:val="21"/>
          <w:szCs w:val="21"/>
          <w:lang w:val="en-US"/>
          <w14:ligatures w14:val="none"/>
        </w:rPr>
        <w:t>提升英语口语</w:t>
      </w:r>
      <w:r>
        <w:rPr>
          <w:rFonts w:hint="eastAsia" w:ascii="宋体" w:hAnsi="宋体" w:eastAsia="宋体" w:cs="宋体"/>
          <w:b/>
          <w:bCs w:val="0"/>
          <w:kern w:val="0"/>
          <w:sz w:val="21"/>
          <w:szCs w:val="21"/>
          <w:lang w:val="en-US" w:eastAsia="zh-CN"/>
          <w14:ligatures w14:val="none"/>
        </w:rPr>
        <w:t>能力】</w:t>
      </w:r>
    </w:p>
    <w:p w14:paraId="14953A36">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全英文的授课环境，提升了英语的自信度和流畅度。授课老师很会调动课堂氛围并总是以一种夸奖和鼓励的方式来引导学生，课堂生动有趣，十分注重学生的主体地位，给予学生较多的机会练习口语。在课堂上，小组讨论总是占了很大一部分，让学生有机会去表达去倾听去交流，老师也会纠正学生的发音及语调，在这个过程中，口语能力得到全面提升。</w:t>
      </w:r>
    </w:p>
    <w:p w14:paraId="13EE2E24">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bCs w:val="0"/>
          <w:kern w:val="0"/>
          <w:sz w:val="21"/>
          <w:szCs w:val="21"/>
          <w:lang w:val="en-US" w:eastAsia="zh-CN"/>
          <w14:ligatures w14:val="none"/>
        </w:rPr>
      </w:pPr>
      <w:r>
        <w:rPr>
          <w:rFonts w:hint="eastAsia" w:ascii="宋体" w:hAnsi="宋体" w:eastAsia="宋体" w:cs="宋体"/>
          <w:b/>
          <w:bCs w:val="0"/>
          <w:kern w:val="0"/>
          <w:sz w:val="21"/>
          <w:szCs w:val="21"/>
          <w:lang w:val="en-US" w:eastAsia="zh-CN"/>
          <w14:ligatures w14:val="none"/>
        </w:rPr>
        <w:t>【</w:t>
      </w:r>
      <w:r>
        <w:rPr>
          <w:rFonts w:hint="eastAsia" w:ascii="宋体" w:hAnsi="宋体" w:eastAsia="宋体" w:cs="宋体"/>
          <w:b/>
          <w:bCs w:val="0"/>
          <w:kern w:val="0"/>
          <w:sz w:val="21"/>
          <w:szCs w:val="21"/>
          <w:lang w:val="en-US"/>
          <w14:ligatures w14:val="none"/>
        </w:rPr>
        <w:t>提升英文演讲能力</w:t>
      </w:r>
      <w:r>
        <w:rPr>
          <w:rFonts w:hint="eastAsia" w:ascii="宋体" w:hAnsi="宋体" w:eastAsia="宋体" w:cs="宋体"/>
          <w:b/>
          <w:bCs w:val="0"/>
          <w:kern w:val="0"/>
          <w:sz w:val="21"/>
          <w:szCs w:val="21"/>
          <w:lang w:val="en-US" w:eastAsia="zh-CN"/>
          <w14:ligatures w14:val="none"/>
        </w:rPr>
        <w:t>】</w:t>
      </w:r>
    </w:p>
    <w:p w14:paraId="09A5D55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通过课程学习，学会确定演讲题目，构思演讲框架，收集整理素材，并通过小组讨论，形成最终的演示文稿。这个过程极大锻炼了学生的限时思考及写作能力。在演讲过程中要注意演讲的要领与技巧，如演讲者与听众目光的接触、声音的抑扬顿挫、肢体语言的配合等。课程期间，通过演讲训练，提升学生全英文演讲能力。</w:t>
      </w:r>
    </w:p>
    <w:p w14:paraId="61304E52">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bCs w:val="0"/>
          <w:kern w:val="0"/>
          <w:sz w:val="21"/>
          <w:szCs w:val="21"/>
          <w:lang w:val="en-US" w:eastAsia="zh-CN"/>
          <w14:ligatures w14:val="none"/>
        </w:rPr>
      </w:pPr>
      <w:r>
        <w:rPr>
          <w:rFonts w:hint="eastAsia" w:ascii="宋体" w:hAnsi="宋体" w:eastAsia="宋体" w:cs="宋体"/>
          <w:b/>
          <w:bCs w:val="0"/>
          <w:kern w:val="0"/>
          <w:sz w:val="21"/>
          <w:szCs w:val="21"/>
          <w:lang w:val="en-US" w:eastAsia="zh-CN"/>
          <w14:ligatures w14:val="none"/>
        </w:rPr>
        <w:t>【</w:t>
      </w:r>
      <w:r>
        <w:rPr>
          <w:rFonts w:hint="eastAsia" w:ascii="宋体" w:hAnsi="宋体" w:eastAsia="宋体" w:cs="宋体"/>
          <w:b/>
          <w:bCs w:val="0"/>
          <w:kern w:val="0"/>
          <w:sz w:val="21"/>
          <w:szCs w:val="21"/>
          <w:lang w:val="en-US"/>
          <w14:ligatures w14:val="none"/>
        </w:rPr>
        <w:t>提升团队合作能力</w:t>
      </w:r>
      <w:r>
        <w:rPr>
          <w:rFonts w:hint="eastAsia" w:ascii="宋体" w:hAnsi="宋体" w:eastAsia="宋体" w:cs="宋体"/>
          <w:b/>
          <w:bCs w:val="0"/>
          <w:kern w:val="0"/>
          <w:sz w:val="21"/>
          <w:szCs w:val="21"/>
          <w:lang w:val="en-US" w:eastAsia="zh-CN"/>
          <w14:ligatures w14:val="none"/>
        </w:rPr>
        <w:t>】</w:t>
      </w:r>
    </w:p>
    <w:p w14:paraId="0FB5453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课堂上多次采用小组合作的模式，这种模式可以让学生更好地独立思考，发挥团队精神、互补互助以达到团队最大工作效率。对于团队的成员来说，不仅要有个人能力，更需要有在不同的位置上各尽所能与其他成员协调合作，从而圆满完成老师布置的各项任务。</w:t>
      </w:r>
    </w:p>
    <w:p w14:paraId="06645404">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p>
    <w:p w14:paraId="43B99C08">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left"/>
        <w:textAlignment w:val="auto"/>
        <w:rPr>
          <w:rFonts w:hint="eastAsia" w:ascii="宋体" w:hAnsi="宋体" w:eastAsia="宋体" w:cs="宋体"/>
          <w:b w:val="0"/>
          <w:bCs/>
          <w:kern w:val="0"/>
          <w:sz w:val="21"/>
          <w:szCs w:val="21"/>
          <w:lang w:val="en-US"/>
          <w14:ligatures w14:val="none"/>
        </w:rPr>
      </w:pPr>
      <w:r>
        <w:rPr>
          <w:rFonts w:hint="eastAsia" w:ascii="宋体" w:hAnsi="宋体" w:eastAsia="宋体" w:cs="宋体"/>
          <w:b w:val="0"/>
          <w:bCs/>
          <w:kern w:val="0"/>
          <w:sz w:val="21"/>
          <w:szCs w:val="21"/>
          <w:lang w:val="en-US"/>
          <w14:ligatures w14:val="none"/>
        </w:rPr>
        <w:t>以下行程仅供参考，实际活动安排以学校发布为准。</w:t>
      </w:r>
    </w:p>
    <w:tbl>
      <w:tblPr>
        <w:tblStyle w:val="5"/>
        <w:tblW w:w="8280" w:type="dxa"/>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374"/>
        <w:gridCol w:w="5786"/>
      </w:tblGrid>
      <w:tr w14:paraId="15D6DA48">
        <w:trPr>
          <w:trHeight w:val="567" w:hRule="atLeast"/>
        </w:trPr>
        <w:tc>
          <w:tcPr>
            <w:tcW w:w="1120" w:type="dxa"/>
            <w:shd w:val="clear" w:color="auto" w:fill="8EAADB" w:themeFill="accent1" w:themeFillTint="99"/>
            <w:vAlign w:val="center"/>
          </w:tcPr>
          <w:p w14:paraId="5852BA18">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周次</w:t>
            </w:r>
          </w:p>
        </w:tc>
        <w:tc>
          <w:tcPr>
            <w:tcW w:w="1374" w:type="dxa"/>
            <w:shd w:val="clear" w:color="auto" w:fill="8EAADB" w:themeFill="accent1" w:themeFillTint="99"/>
            <w:vAlign w:val="center"/>
          </w:tcPr>
          <w:p w14:paraId="1CD0AF5F">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时间</w:t>
            </w:r>
          </w:p>
        </w:tc>
        <w:tc>
          <w:tcPr>
            <w:tcW w:w="5786" w:type="dxa"/>
            <w:shd w:val="clear" w:color="auto" w:fill="8EAADB" w:themeFill="accent1" w:themeFillTint="99"/>
            <w:vAlign w:val="center"/>
          </w:tcPr>
          <w:p w14:paraId="48FF6FCA">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参考行程安排</w:t>
            </w:r>
          </w:p>
        </w:tc>
      </w:tr>
      <w:tr w14:paraId="20AB1C31">
        <w:trPr>
          <w:trHeight w:val="567" w:hRule="atLeast"/>
        </w:trPr>
        <w:tc>
          <w:tcPr>
            <w:tcW w:w="1120" w:type="dxa"/>
            <w:vMerge w:val="restart"/>
            <w:shd w:val="clear" w:color="auto" w:fill="auto"/>
            <w:vAlign w:val="center"/>
          </w:tcPr>
          <w:p w14:paraId="465CCA71">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第一周</w:t>
            </w:r>
          </w:p>
        </w:tc>
        <w:tc>
          <w:tcPr>
            <w:tcW w:w="1374" w:type="dxa"/>
            <w:vAlign w:val="center"/>
          </w:tcPr>
          <w:p w14:paraId="22D9901C">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7月26日</w:t>
            </w:r>
          </w:p>
        </w:tc>
        <w:tc>
          <w:tcPr>
            <w:tcW w:w="5786" w:type="dxa"/>
            <w:shd w:val="clear" w:color="auto" w:fill="auto"/>
            <w:vAlign w:val="center"/>
          </w:tcPr>
          <w:p w14:paraId="469A75F6">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乘航班到达悉尼，办理入住</w:t>
            </w:r>
          </w:p>
        </w:tc>
      </w:tr>
      <w:tr w14:paraId="21E9476B">
        <w:trPr>
          <w:trHeight w:val="567" w:hRule="atLeast"/>
        </w:trPr>
        <w:tc>
          <w:tcPr>
            <w:tcW w:w="1120" w:type="dxa"/>
            <w:vMerge w:val="continue"/>
            <w:shd w:val="clear" w:color="auto" w:fill="auto"/>
            <w:vAlign w:val="center"/>
          </w:tcPr>
          <w:p w14:paraId="46B80969">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2A80D821">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7月27日</w:t>
            </w:r>
          </w:p>
        </w:tc>
        <w:tc>
          <w:tcPr>
            <w:tcW w:w="5786" w:type="dxa"/>
            <w:shd w:val="clear" w:color="auto" w:fill="auto"/>
            <w:vAlign w:val="center"/>
          </w:tcPr>
          <w:p w14:paraId="47894860">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新生培训、校园参观</w:t>
            </w:r>
          </w:p>
          <w:p w14:paraId="6BE350DF">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tc>
      </w:tr>
      <w:tr w14:paraId="727FF1C8">
        <w:trPr>
          <w:trHeight w:val="567" w:hRule="atLeast"/>
        </w:trPr>
        <w:tc>
          <w:tcPr>
            <w:tcW w:w="1120" w:type="dxa"/>
            <w:vMerge w:val="continue"/>
            <w:shd w:val="clear" w:color="auto" w:fill="auto"/>
            <w:vAlign w:val="center"/>
          </w:tcPr>
          <w:p w14:paraId="5B52B3F1">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1C0160DE">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7月28日</w:t>
            </w:r>
          </w:p>
        </w:tc>
        <w:tc>
          <w:tcPr>
            <w:tcW w:w="5786" w:type="dxa"/>
            <w:shd w:val="clear" w:color="auto" w:fill="auto"/>
            <w:vAlign w:val="center"/>
          </w:tcPr>
          <w:p w14:paraId="3CB91EDD">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4E6FA1ED">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小组活动：悉尼歌剧院、皇家植物园</w:t>
            </w:r>
          </w:p>
        </w:tc>
      </w:tr>
      <w:tr w14:paraId="67BCC6DB">
        <w:trPr>
          <w:trHeight w:val="567" w:hRule="atLeast"/>
        </w:trPr>
        <w:tc>
          <w:tcPr>
            <w:tcW w:w="1120" w:type="dxa"/>
            <w:vMerge w:val="continue"/>
            <w:shd w:val="clear" w:color="auto" w:fill="auto"/>
            <w:vAlign w:val="center"/>
          </w:tcPr>
          <w:p w14:paraId="61AC25B0">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7886F346">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7月29日</w:t>
            </w:r>
          </w:p>
        </w:tc>
        <w:tc>
          <w:tcPr>
            <w:tcW w:w="5786" w:type="dxa"/>
            <w:shd w:val="clear" w:color="auto" w:fill="auto"/>
            <w:vAlign w:val="center"/>
          </w:tcPr>
          <w:p w14:paraId="6B28F2DA">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485254A7">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小组活动：海德公园、澳大利亚博物馆</w:t>
            </w:r>
          </w:p>
        </w:tc>
      </w:tr>
      <w:tr w14:paraId="394134E3">
        <w:trPr>
          <w:trHeight w:val="567" w:hRule="atLeast"/>
        </w:trPr>
        <w:tc>
          <w:tcPr>
            <w:tcW w:w="1120" w:type="dxa"/>
            <w:vMerge w:val="continue"/>
            <w:shd w:val="clear" w:color="auto" w:fill="auto"/>
            <w:vAlign w:val="center"/>
          </w:tcPr>
          <w:p w14:paraId="581A08BB">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25E9BAA9">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7月30日</w:t>
            </w:r>
          </w:p>
        </w:tc>
        <w:tc>
          <w:tcPr>
            <w:tcW w:w="5786" w:type="dxa"/>
            <w:shd w:val="clear" w:color="auto" w:fill="auto"/>
            <w:vAlign w:val="center"/>
          </w:tcPr>
          <w:p w14:paraId="4AC3DBBF">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6303541D">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自习研修</w:t>
            </w:r>
          </w:p>
        </w:tc>
      </w:tr>
      <w:tr w14:paraId="53558F5A">
        <w:trPr>
          <w:trHeight w:val="567" w:hRule="atLeast"/>
        </w:trPr>
        <w:tc>
          <w:tcPr>
            <w:tcW w:w="1120" w:type="dxa"/>
            <w:vMerge w:val="continue"/>
            <w:shd w:val="clear" w:color="auto" w:fill="auto"/>
            <w:vAlign w:val="center"/>
          </w:tcPr>
          <w:p w14:paraId="4D40F8E9">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2A73B1A1">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7月31日</w:t>
            </w:r>
          </w:p>
        </w:tc>
        <w:tc>
          <w:tcPr>
            <w:tcW w:w="5786" w:type="dxa"/>
            <w:shd w:val="clear" w:color="auto" w:fill="auto"/>
            <w:vAlign w:val="center"/>
          </w:tcPr>
          <w:p w14:paraId="09F4C7F4">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79A4F81B">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小组活动：邦迪海滩、勃朗特海滩徒步</w:t>
            </w:r>
          </w:p>
        </w:tc>
      </w:tr>
      <w:tr w14:paraId="207D7CAC">
        <w:trPr>
          <w:trHeight w:val="567" w:hRule="atLeast"/>
        </w:trPr>
        <w:tc>
          <w:tcPr>
            <w:tcW w:w="1120" w:type="dxa"/>
            <w:vMerge w:val="continue"/>
            <w:shd w:val="clear" w:color="auto" w:fill="auto"/>
            <w:vAlign w:val="center"/>
          </w:tcPr>
          <w:p w14:paraId="15F2294D">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shd w:val="clear" w:color="auto" w:fill="auto"/>
            <w:vAlign w:val="center"/>
          </w:tcPr>
          <w:p w14:paraId="44FB2EB4">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8月1日</w:t>
            </w:r>
          </w:p>
          <w:p w14:paraId="6D2828C5">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8月2日</w:t>
            </w:r>
          </w:p>
        </w:tc>
        <w:tc>
          <w:tcPr>
            <w:tcW w:w="5786" w:type="dxa"/>
            <w:shd w:val="clear" w:color="auto" w:fill="auto"/>
            <w:vAlign w:val="center"/>
          </w:tcPr>
          <w:p w14:paraId="3F3FD281">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周末小组人文探索</w:t>
            </w:r>
          </w:p>
        </w:tc>
      </w:tr>
      <w:tr w14:paraId="4A654FA0">
        <w:trPr>
          <w:trHeight w:val="567" w:hRule="atLeast"/>
        </w:trPr>
        <w:tc>
          <w:tcPr>
            <w:tcW w:w="1120" w:type="dxa"/>
            <w:vMerge w:val="restart"/>
            <w:shd w:val="clear" w:color="auto" w:fill="auto"/>
            <w:vAlign w:val="center"/>
          </w:tcPr>
          <w:p w14:paraId="29B3CB85">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第二周</w:t>
            </w:r>
          </w:p>
        </w:tc>
        <w:tc>
          <w:tcPr>
            <w:tcW w:w="1374" w:type="dxa"/>
            <w:vAlign w:val="center"/>
          </w:tcPr>
          <w:p w14:paraId="132270CB">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8月3日</w:t>
            </w:r>
          </w:p>
        </w:tc>
        <w:tc>
          <w:tcPr>
            <w:tcW w:w="5786" w:type="dxa"/>
            <w:shd w:val="clear" w:color="auto" w:fill="auto"/>
            <w:vAlign w:val="center"/>
          </w:tcPr>
          <w:p w14:paraId="5570CDC3">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7503C78E">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小组活动：环形码头观光、塔龙加动物园</w:t>
            </w:r>
          </w:p>
        </w:tc>
      </w:tr>
      <w:tr w14:paraId="3403C773">
        <w:trPr>
          <w:trHeight w:val="567" w:hRule="atLeast"/>
        </w:trPr>
        <w:tc>
          <w:tcPr>
            <w:tcW w:w="1120" w:type="dxa"/>
            <w:vMerge w:val="continue"/>
            <w:shd w:val="clear" w:color="auto" w:fill="auto"/>
            <w:vAlign w:val="center"/>
          </w:tcPr>
          <w:p w14:paraId="13D2797A">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1FBBE2B1">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8月4日</w:t>
            </w:r>
          </w:p>
        </w:tc>
        <w:tc>
          <w:tcPr>
            <w:tcW w:w="5786" w:type="dxa"/>
            <w:shd w:val="clear" w:color="auto" w:fill="auto"/>
            <w:vAlign w:val="center"/>
          </w:tcPr>
          <w:p w14:paraId="4432E793">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7D52A35A">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自习研修</w:t>
            </w:r>
          </w:p>
        </w:tc>
      </w:tr>
      <w:tr w14:paraId="1B815971">
        <w:trPr>
          <w:trHeight w:val="567" w:hRule="atLeast"/>
        </w:trPr>
        <w:tc>
          <w:tcPr>
            <w:tcW w:w="1120" w:type="dxa"/>
            <w:vMerge w:val="continue"/>
            <w:shd w:val="clear" w:color="auto" w:fill="auto"/>
            <w:vAlign w:val="center"/>
          </w:tcPr>
          <w:p w14:paraId="42D852EA">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7961E2E4">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8月5日</w:t>
            </w:r>
          </w:p>
        </w:tc>
        <w:tc>
          <w:tcPr>
            <w:tcW w:w="5786" w:type="dxa"/>
            <w:shd w:val="clear" w:color="auto" w:fill="auto"/>
            <w:vAlign w:val="center"/>
          </w:tcPr>
          <w:p w14:paraId="35EB5CD5">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2CF90436">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小组活动：新南威尔士州立图书馆、新南威尔士州立美术馆</w:t>
            </w:r>
          </w:p>
        </w:tc>
      </w:tr>
      <w:tr w14:paraId="483ABD1D">
        <w:trPr>
          <w:trHeight w:val="567" w:hRule="atLeast"/>
        </w:trPr>
        <w:tc>
          <w:tcPr>
            <w:tcW w:w="1120" w:type="dxa"/>
            <w:vMerge w:val="continue"/>
            <w:shd w:val="clear" w:color="auto" w:fill="auto"/>
            <w:vAlign w:val="center"/>
          </w:tcPr>
          <w:p w14:paraId="1538D5AF">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7486B618">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8月6日</w:t>
            </w:r>
          </w:p>
        </w:tc>
        <w:tc>
          <w:tcPr>
            <w:tcW w:w="5786" w:type="dxa"/>
            <w:shd w:val="clear" w:color="auto" w:fill="auto"/>
            <w:vAlign w:val="center"/>
          </w:tcPr>
          <w:p w14:paraId="2BD5BCAB">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商务沟通与领导力课程</w:t>
            </w:r>
          </w:p>
          <w:p w14:paraId="4B406249">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小组讨论：准备结课汇报</w:t>
            </w:r>
          </w:p>
        </w:tc>
      </w:tr>
      <w:tr w14:paraId="670C8BD8">
        <w:trPr>
          <w:trHeight w:val="567" w:hRule="atLeast"/>
        </w:trPr>
        <w:tc>
          <w:tcPr>
            <w:tcW w:w="1120" w:type="dxa"/>
            <w:vMerge w:val="continue"/>
            <w:shd w:val="clear" w:color="auto" w:fill="auto"/>
            <w:vAlign w:val="center"/>
          </w:tcPr>
          <w:p w14:paraId="6361AB7A">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3E48418B">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8月7日</w:t>
            </w:r>
          </w:p>
        </w:tc>
        <w:tc>
          <w:tcPr>
            <w:tcW w:w="5786" w:type="dxa"/>
            <w:shd w:val="clear" w:color="auto" w:fill="auto"/>
            <w:vAlign w:val="center"/>
          </w:tcPr>
          <w:p w14:paraId="0EC7239F">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结课汇报</w:t>
            </w:r>
          </w:p>
          <w:p w14:paraId="2C671D48">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欢送午餐</w:t>
            </w:r>
          </w:p>
        </w:tc>
      </w:tr>
      <w:tr w14:paraId="641DAC44">
        <w:trPr>
          <w:trHeight w:val="567" w:hRule="atLeast"/>
        </w:trPr>
        <w:tc>
          <w:tcPr>
            <w:tcW w:w="1120" w:type="dxa"/>
            <w:vMerge w:val="continue"/>
            <w:shd w:val="clear" w:color="auto" w:fill="auto"/>
            <w:vAlign w:val="center"/>
          </w:tcPr>
          <w:p w14:paraId="0632A003">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p>
        </w:tc>
        <w:tc>
          <w:tcPr>
            <w:tcW w:w="1374" w:type="dxa"/>
            <w:vAlign w:val="center"/>
          </w:tcPr>
          <w:p w14:paraId="74606570">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8月8日</w:t>
            </w:r>
          </w:p>
        </w:tc>
        <w:tc>
          <w:tcPr>
            <w:tcW w:w="5786" w:type="dxa"/>
            <w:shd w:val="clear" w:color="auto" w:fill="auto"/>
            <w:vAlign w:val="center"/>
          </w:tcPr>
          <w:p w14:paraId="0CC895C7">
            <w:pPr>
              <w:keepNext w:val="0"/>
              <w:keepLines w:val="0"/>
              <w:pageBreakBefore w:val="0"/>
              <w:widowControl w:val="0"/>
              <w:kinsoku/>
              <w:wordWrap/>
              <w:overflowPunct/>
              <w:topLinePunct w:val="0"/>
              <w:bidi w:val="0"/>
              <w:adjustRightInd/>
              <w:snapToGrid/>
              <w:spacing w:line="288" w:lineRule="auto"/>
              <w:textAlignment w:val="auto"/>
              <w:rPr>
                <w:rFonts w:cs="Times New Roman"/>
                <w:kern w:val="0"/>
                <w:sz w:val="21"/>
                <w:szCs w:val="21"/>
              </w:rPr>
            </w:pPr>
            <w:r>
              <w:rPr>
                <w:rFonts w:cs="Times New Roman"/>
                <w:kern w:val="0"/>
                <w:sz w:val="21"/>
                <w:szCs w:val="21"/>
              </w:rPr>
              <w:t>返程回国</w:t>
            </w:r>
          </w:p>
        </w:tc>
      </w:tr>
    </w:tbl>
    <w:p w14:paraId="35B7CCA1">
      <w:pPr>
        <w:keepNext w:val="0"/>
        <w:keepLines w:val="0"/>
        <w:pageBreakBefore w:val="0"/>
        <w:kinsoku/>
        <w:wordWrap/>
        <w:overflowPunct/>
        <w:topLinePunct w:val="0"/>
        <w:bidi w:val="0"/>
        <w:adjustRightInd/>
        <w:snapToGrid/>
        <w:spacing w:line="288" w:lineRule="auto"/>
        <w:textAlignment w:val="auto"/>
        <w:rPr>
          <w:sz w:val="21"/>
          <w:szCs w:val="21"/>
        </w:rPr>
      </w:pPr>
    </w:p>
    <w:p w14:paraId="20D26865">
      <w:pPr>
        <w:keepNext w:val="0"/>
        <w:keepLines w:val="0"/>
        <w:pageBreakBefore w:val="0"/>
        <w:kinsoku/>
        <w:wordWrap/>
        <w:overflowPunct/>
        <w:topLinePunct w:val="0"/>
        <w:bidi w:val="0"/>
        <w:adjustRightInd/>
        <w:snapToGrid/>
        <w:spacing w:line="288" w:lineRule="auto"/>
        <w:textAlignment w:val="auto"/>
        <w:rPr>
          <w:sz w:val="21"/>
          <w:szCs w:val="21"/>
        </w:rPr>
      </w:pPr>
      <w:r>
        <w:rPr>
          <w:rFonts w:hint="eastAsia"/>
          <w:b/>
          <w:sz w:val="21"/>
          <w:szCs w:val="21"/>
        </w:rPr>
        <w:t>四、项目收获</w:t>
      </w:r>
    </w:p>
    <w:p w14:paraId="4AFC677C">
      <w:pPr>
        <w:keepNext w:val="0"/>
        <w:keepLines w:val="0"/>
        <w:pageBreakBefore w:val="0"/>
        <w:kinsoku/>
        <w:wordWrap/>
        <w:overflowPunct/>
        <w:topLinePunct w:val="0"/>
        <w:bidi w:val="0"/>
        <w:adjustRightInd/>
        <w:snapToGrid/>
        <w:spacing w:line="288" w:lineRule="auto"/>
        <w:textAlignment w:val="auto"/>
        <w:rPr>
          <w:sz w:val="21"/>
          <w:szCs w:val="21"/>
        </w:rPr>
      </w:pPr>
      <w:r>
        <w:rPr>
          <w:rFonts w:hint="eastAsia"/>
          <w:sz w:val="21"/>
          <w:szCs w:val="21"/>
        </w:rPr>
        <w:t>项目结束后将获得悉尼大学颁发的项目结业证书和成绩评定单。</w:t>
      </w:r>
    </w:p>
    <w:p w14:paraId="1B893C42">
      <w:pPr>
        <w:keepNext w:val="0"/>
        <w:keepLines w:val="0"/>
        <w:pageBreakBefore w:val="0"/>
        <w:kinsoku/>
        <w:wordWrap/>
        <w:overflowPunct/>
        <w:topLinePunct w:val="0"/>
        <w:bidi w:val="0"/>
        <w:adjustRightInd/>
        <w:snapToGrid/>
        <w:spacing w:line="288" w:lineRule="auto"/>
        <w:textAlignment w:val="auto"/>
        <w:rPr>
          <w:sz w:val="21"/>
          <w:szCs w:val="21"/>
        </w:rPr>
      </w:pPr>
      <w:r>
        <w:rPr>
          <w:sz w:val="21"/>
          <w:szCs w:val="21"/>
        </w:rPr>
        <w:drawing>
          <wp:inline distT="0" distB="0" distL="114300" distR="114300">
            <wp:extent cx="2689225" cy="3792220"/>
            <wp:effectExtent l="0" t="0" r="15875" b="17780"/>
            <wp:docPr id="18" name="图片 18" descr="2d47a1234d0561825731e511f56458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2d47a1234d0561825731e511f56458a4"/>
                    <pic:cNvPicPr>
                      <a:picLocks noChangeAspect="1"/>
                    </pic:cNvPicPr>
                  </pic:nvPicPr>
                  <pic:blipFill>
                    <a:blip r:embed="rId4"/>
                    <a:stretch>
                      <a:fillRect/>
                    </a:stretch>
                  </pic:blipFill>
                  <pic:spPr>
                    <a:xfrm>
                      <a:off x="0" y="0"/>
                      <a:ext cx="2689225" cy="3792220"/>
                    </a:xfrm>
                    <a:prstGeom prst="rect">
                      <a:avLst/>
                    </a:prstGeom>
                  </pic:spPr>
                </pic:pic>
              </a:graphicData>
            </a:graphic>
          </wp:inline>
        </w:drawing>
      </w:r>
      <w:r>
        <w:rPr>
          <w:sz w:val="21"/>
          <w:szCs w:val="21"/>
        </w:rPr>
        <w:drawing>
          <wp:inline distT="0" distB="0" distL="0" distR="0">
            <wp:extent cx="2519680" cy="3787140"/>
            <wp:effectExtent l="0" t="0" r="13970" b="3810"/>
            <wp:docPr id="169453866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38665" name="图片 1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2520000" cy="3787582"/>
                    </a:xfrm>
                    <a:prstGeom prst="rect">
                      <a:avLst/>
                    </a:prstGeom>
                    <a:noFill/>
                    <a:ln>
                      <a:noFill/>
                    </a:ln>
                  </pic:spPr>
                </pic:pic>
              </a:graphicData>
            </a:graphic>
          </wp:inline>
        </w:drawing>
      </w:r>
    </w:p>
    <w:p w14:paraId="3CB1CF9B">
      <w:pPr>
        <w:keepNext w:val="0"/>
        <w:keepLines w:val="0"/>
        <w:pageBreakBefore w:val="0"/>
        <w:kinsoku/>
        <w:wordWrap/>
        <w:overflowPunct/>
        <w:topLinePunct w:val="0"/>
        <w:bidi w:val="0"/>
        <w:adjustRightInd/>
        <w:snapToGrid/>
        <w:spacing w:line="288" w:lineRule="auto"/>
        <w:textAlignment w:val="auto"/>
        <w:rPr>
          <w:sz w:val="21"/>
          <w:szCs w:val="21"/>
        </w:rPr>
      </w:pPr>
    </w:p>
    <w:p w14:paraId="3CD887F4">
      <w:pPr>
        <w:keepNext w:val="0"/>
        <w:keepLines w:val="0"/>
        <w:pageBreakBefore w:val="0"/>
        <w:kinsoku/>
        <w:wordWrap/>
        <w:overflowPunct/>
        <w:topLinePunct w:val="0"/>
        <w:bidi w:val="0"/>
        <w:adjustRightInd/>
        <w:snapToGrid/>
        <w:spacing w:line="288" w:lineRule="auto"/>
        <w:textAlignment w:val="auto"/>
        <w:rPr>
          <w:b/>
          <w:sz w:val="21"/>
          <w:szCs w:val="21"/>
        </w:rPr>
      </w:pPr>
      <w:r>
        <w:rPr>
          <w:rFonts w:hint="eastAsia"/>
          <w:b/>
          <w:sz w:val="21"/>
          <w:szCs w:val="21"/>
        </w:rPr>
        <w:t>五、项目其他</w:t>
      </w:r>
    </w:p>
    <w:p w14:paraId="3259A873">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项目时间：2026年7月27日-8月7日（2周，不含往返）</w:t>
      </w:r>
    </w:p>
    <w:p w14:paraId="60C21C50">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cs="宋体"/>
          <w:kern w:val="0"/>
          <w:lang w:val="en-US" w:eastAsia="zh-CN"/>
          <w14:ligatures w14:val="none"/>
        </w:rPr>
      </w:pPr>
      <w:r>
        <w:rPr>
          <w:rFonts w:hint="eastAsia" w:cs="宋体"/>
          <w:kern w:val="0"/>
          <w:lang w:val="en-US" w:eastAsia="zh-CN"/>
          <w14:ligatures w14:val="none"/>
        </w:rPr>
        <w:t>开班人数：小班授课，每班15-20人</w:t>
      </w:r>
    </w:p>
    <w:p w14:paraId="2ABDAE2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cs="宋体"/>
          <w:kern w:val="0"/>
          <w:lang w:val="en-US" w:eastAsia="zh-CN"/>
          <w14:ligatures w14:val="none"/>
        </w:rPr>
      </w:pPr>
      <w:r>
        <w:rPr>
          <w:rFonts w:hint="eastAsia" w:cs="宋体"/>
          <w:kern w:val="0"/>
          <w:lang w:val="en-US" w:eastAsia="zh-CN"/>
          <w14:ligatures w14:val="none"/>
        </w:rPr>
        <w:t>学时数：周一至周五每天4小时，共计40小时课程</w:t>
      </w:r>
    </w:p>
    <w:p w14:paraId="4ED01B8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签证类型：旅游签证</w:t>
      </w:r>
    </w:p>
    <w:p w14:paraId="3BDB0F8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项目费用：23600元</w:t>
      </w:r>
    </w:p>
    <w:p w14:paraId="2CFFBBC3">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费用包含：项目申请费、学费、住宿费（校外公寓或酒店，标准双人间）、项目管理费（项目咨询、项目申请、住宿安排、签证指导、行前指导、接送机服务等）。</w:t>
      </w:r>
    </w:p>
    <w:p w14:paraId="3BE3DA7B">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费用不含：往返国际机票、签证费、境外保险费、个人开销。</w:t>
      </w:r>
    </w:p>
    <w:p w14:paraId="24A6B18B">
      <w:pPr>
        <w:keepNext w:val="0"/>
        <w:keepLines w:val="0"/>
        <w:pageBreakBefore w:val="0"/>
        <w:kinsoku/>
        <w:wordWrap/>
        <w:overflowPunct/>
        <w:topLinePunct w:val="0"/>
        <w:bidi w:val="0"/>
        <w:adjustRightInd/>
        <w:snapToGrid/>
        <w:spacing w:line="288" w:lineRule="auto"/>
        <w:textAlignment w:val="auto"/>
        <w:rPr>
          <w:sz w:val="21"/>
          <w:szCs w:val="21"/>
        </w:rPr>
      </w:pPr>
    </w:p>
    <w:p w14:paraId="48199CD5">
      <w:pPr>
        <w:keepNext w:val="0"/>
        <w:keepLines w:val="0"/>
        <w:pageBreakBefore w:val="0"/>
        <w:kinsoku/>
        <w:wordWrap/>
        <w:overflowPunct/>
        <w:topLinePunct w:val="0"/>
        <w:bidi w:val="0"/>
        <w:adjustRightInd/>
        <w:snapToGrid/>
        <w:spacing w:line="288" w:lineRule="auto"/>
        <w:textAlignment w:val="auto"/>
        <w:rPr>
          <w:b/>
          <w:sz w:val="21"/>
          <w:szCs w:val="21"/>
        </w:rPr>
      </w:pPr>
      <w:r>
        <w:rPr>
          <w:rFonts w:hint="eastAsia"/>
          <w:b/>
          <w:sz w:val="21"/>
          <w:szCs w:val="21"/>
        </w:rPr>
        <w:t>六、项目申请</w:t>
      </w:r>
    </w:p>
    <w:p w14:paraId="303F4E3C">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报名条件：全日制在校本科生或研究生，年满18周岁</w:t>
      </w:r>
    </w:p>
    <w:p w14:paraId="109FB56D">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英语要求（满足一项即可）：托福70、雅思5.5</w:t>
      </w:r>
      <w:r>
        <w:rPr>
          <w:rFonts w:hint="eastAsia" w:cs="宋体"/>
          <w:kern w:val="0"/>
          <w:lang w:val="en-US" w:eastAsia="zh-CN"/>
          <w14:ligatures w14:val="none"/>
        </w:rPr>
        <w:t>、</w:t>
      </w:r>
      <w:r>
        <w:rPr>
          <w:rFonts w:hint="eastAsia" w:ascii="宋体" w:hAnsi="宋体" w:eastAsia="宋体" w:cs="宋体"/>
          <w:kern w:val="0"/>
          <w:lang w:val="en-US" w:eastAsia="zh-CN"/>
          <w14:ligatures w14:val="none"/>
        </w:rPr>
        <w:t>四级450</w:t>
      </w:r>
      <w:r>
        <w:rPr>
          <w:rFonts w:hint="eastAsia" w:cs="宋体"/>
          <w:kern w:val="0"/>
          <w:lang w:val="en-US" w:eastAsia="zh-CN"/>
          <w14:ligatures w14:val="none"/>
        </w:rPr>
        <w:t>、</w:t>
      </w:r>
      <w:r>
        <w:rPr>
          <w:rFonts w:hint="eastAsia" w:ascii="宋体" w:hAnsi="宋体" w:eastAsia="宋体" w:cs="宋体"/>
          <w:kern w:val="0"/>
          <w:lang w:val="en-US" w:eastAsia="zh-CN"/>
          <w14:ligatures w14:val="none"/>
        </w:rPr>
        <w:t>六级425或具备同等英语水平。</w:t>
      </w:r>
    </w:p>
    <w:p w14:paraId="0804007E">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default"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申请截止日期：</w:t>
      </w:r>
      <w:r>
        <w:rPr>
          <w:rFonts w:hint="eastAsia" w:cs="宋体"/>
          <w:kern w:val="0"/>
          <w:lang w:val="en-US" w:eastAsia="zh-CN"/>
          <w14:ligatures w14:val="none"/>
        </w:rPr>
        <w:t>5月1</w:t>
      </w:r>
      <w:bookmarkStart w:id="0" w:name="_GoBack"/>
      <w:bookmarkEnd w:id="0"/>
      <w:r>
        <w:rPr>
          <w:rFonts w:hint="eastAsia" w:cs="宋体"/>
          <w:kern w:val="0"/>
          <w:lang w:val="en-US" w:eastAsia="zh-CN"/>
          <w14:ligatures w14:val="none"/>
        </w:rPr>
        <w:t>0日</w:t>
      </w:r>
    </w:p>
    <w:p w14:paraId="4F580092">
      <w:pPr>
        <w:keepNext w:val="0"/>
        <w:keepLines w:val="0"/>
        <w:pageBreakBefore w:val="0"/>
        <w:kinsoku/>
        <w:wordWrap/>
        <w:overflowPunct/>
        <w:topLinePunct w:val="0"/>
        <w:bidi w:val="0"/>
        <w:adjustRightInd/>
        <w:snapToGrid/>
        <w:spacing w:line="288" w:lineRule="auto"/>
        <w:textAlignment w:val="auto"/>
        <w:rPr>
          <w:rFonts w:hint="eastAsia"/>
          <w:sz w:val="21"/>
          <w:szCs w:val="21"/>
          <w:lang w:val="en-US" w:eastAsia="zh-CN"/>
        </w:rPr>
      </w:pPr>
    </w:p>
    <w:p w14:paraId="129D3135">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textAlignment w:val="auto"/>
        <w:rPr>
          <w:b/>
        </w:rPr>
      </w:pPr>
      <w:r>
        <w:rPr>
          <w:rFonts w:hint="eastAsia"/>
          <w:b/>
          <w:lang w:val="en-US" w:eastAsia="zh-CN"/>
        </w:rPr>
        <w:t>悉尼大学</w:t>
      </w:r>
      <w:r>
        <w:rPr>
          <w:rFonts w:hint="eastAsia"/>
          <w:b/>
        </w:rPr>
        <w:t>项目报名：</w:t>
      </w:r>
    </w:p>
    <w:p w14:paraId="657B5516">
      <w:pPr>
        <w:pStyle w:val="2"/>
        <w:keepNext w:val="0"/>
        <w:keepLines w:val="0"/>
        <w:pageBreakBefore w:val="0"/>
        <w:widowControl w:val="0"/>
        <w:kinsoku/>
        <w:wordWrap/>
        <w:overflowPunct/>
        <w:topLinePunct w:val="0"/>
        <w:autoSpaceDE w:val="0"/>
        <w:autoSpaceDN w:val="0"/>
        <w:bidi w:val="0"/>
        <w:adjustRightInd/>
        <w:snapToGrid/>
        <w:spacing w:before="0" w:line="288" w:lineRule="auto"/>
        <w:ind w:left="0"/>
        <w:jc w:val="both"/>
        <w:textAlignment w:val="auto"/>
        <w:rPr>
          <w:rFonts w:hint="eastAsia" w:ascii="宋体" w:hAnsi="宋体" w:eastAsia="宋体" w:cs="宋体"/>
          <w:kern w:val="0"/>
          <w:lang w:val="en-US" w:eastAsia="zh-CN"/>
          <w14:ligatures w14:val="none"/>
        </w:rPr>
      </w:pPr>
      <w:r>
        <w:rPr>
          <w:rFonts w:hint="eastAsia" w:ascii="宋体" w:hAnsi="宋体" w:eastAsia="宋体" w:cs="宋体"/>
          <w:kern w:val="0"/>
          <w:lang w:val="en-US" w:eastAsia="zh-CN"/>
          <w14:ligatures w14:val="none"/>
        </w:rPr>
        <w:t>白老师微信号：studyabroad2016（可微信咨询或报名，请标注国内学校专业+姓名）</w:t>
      </w:r>
    </w:p>
    <w:p w14:paraId="7DD8512E">
      <w:pPr>
        <w:spacing w:line="288"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drawing>
          <wp:anchor distT="0" distB="0" distL="0" distR="0" simplePos="0" relativeHeight="251660288" behindDoc="0" locked="0" layoutInCell="1" allowOverlap="1">
            <wp:simplePos x="0" y="0"/>
            <wp:positionH relativeFrom="column">
              <wp:posOffset>1053465</wp:posOffset>
            </wp:positionH>
            <wp:positionV relativeFrom="paragraph">
              <wp:posOffset>22225</wp:posOffset>
            </wp:positionV>
            <wp:extent cx="1038225" cy="1038225"/>
            <wp:effectExtent l="0" t="0" r="3175" b="3175"/>
            <wp:wrapSquare wrapText="bothSides"/>
            <wp:docPr id="1" name="图片 1" descr="D:\1-ISP\临时\二维码\校内申请中的问与答.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1-ISP\临时\二维码\校内申请中的问与答.jpg"/>
                    <pic:cNvPicPr>
                      <a:picLocks noChangeAspect="1" noChangeArrowheads="1"/>
                    </pic:cNvPicPr>
                  </pic:nvPicPr>
                  <pic:blipFill>
                    <a:blip r:embed="rId6" cstate="print"/>
                    <a:srcRect/>
                    <a:stretch>
                      <a:fillRect/>
                    </a:stretch>
                  </pic:blipFill>
                  <pic:spPr>
                    <a:xfrm>
                      <a:off x="0" y="0"/>
                      <a:ext cx="1038225" cy="1038225"/>
                    </a:xfrm>
                    <a:prstGeom prst="rect">
                      <a:avLst/>
                    </a:prstGeom>
                    <a:noFill/>
                    <a:ln w="9525">
                      <a:noFill/>
                      <a:miter lim="800000"/>
                      <a:headEnd/>
                      <a:tailEnd/>
                    </a:ln>
                  </pic:spPr>
                </pic:pic>
              </a:graphicData>
            </a:graphic>
          </wp:anchor>
        </w:drawing>
      </w:r>
      <w:r>
        <w:rPr>
          <w:rFonts w:hint="eastAsia" w:asciiTheme="minorEastAsia" w:hAnsiTheme="minorEastAsia" w:eastAsiaTheme="minorEastAsia" w:cstheme="minorEastAsia"/>
          <w:sz w:val="21"/>
          <w:szCs w:val="21"/>
        </w:rPr>
        <w:drawing>
          <wp:anchor distT="0" distB="0" distL="0" distR="0" simplePos="0" relativeHeight="251659264" behindDoc="0" locked="0" layoutInCell="1" allowOverlap="1">
            <wp:simplePos x="0" y="0"/>
            <wp:positionH relativeFrom="page">
              <wp:posOffset>1158875</wp:posOffset>
            </wp:positionH>
            <wp:positionV relativeFrom="paragraph">
              <wp:posOffset>58420</wp:posOffset>
            </wp:positionV>
            <wp:extent cx="954405" cy="958215"/>
            <wp:effectExtent l="0" t="0" r="10795" b="6985"/>
            <wp:wrapSquare wrapText="bothSides"/>
            <wp:docPr id="14" name="image16.jpeg" descr="C:/Users/Brynn/Desktop/brynn微信号.pngbrynn微信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6.jpeg" descr="C:/Users/Brynn/Desktop/brynn微信号.pngbrynn微信号"/>
                    <pic:cNvPicPr>
                      <a:picLocks noChangeAspect="1" noChangeArrowheads="1"/>
                    </pic:cNvPicPr>
                  </pic:nvPicPr>
                  <pic:blipFill>
                    <a:blip r:embed="rId7"/>
                    <a:srcRect t="1440" b="1440"/>
                    <a:stretch>
                      <a:fillRect/>
                    </a:stretch>
                  </pic:blipFill>
                  <pic:spPr>
                    <a:xfrm>
                      <a:off x="0" y="0"/>
                      <a:ext cx="954405" cy="958215"/>
                    </a:xfrm>
                    <a:prstGeom prst="rect">
                      <a:avLst/>
                    </a:prstGeom>
                    <a:noFill/>
                    <a:ln w="9525">
                      <a:noFill/>
                      <a:miter lim="800000"/>
                      <a:headEnd/>
                      <a:tailEnd/>
                    </a:ln>
                  </pic:spPr>
                </pic:pic>
              </a:graphicData>
            </a:graphic>
          </wp:anchor>
        </w:drawing>
      </w:r>
    </w:p>
    <w:p w14:paraId="7B7D0F9F">
      <w:pPr>
        <w:spacing w:line="288" w:lineRule="auto"/>
        <w:rPr>
          <w:rFonts w:asciiTheme="minorEastAsia" w:hAnsiTheme="minorEastAsia" w:eastAsiaTheme="minorEastAsia" w:cstheme="minorEastAsia"/>
          <w:sz w:val="21"/>
          <w:szCs w:val="21"/>
        </w:rPr>
      </w:pPr>
    </w:p>
    <w:p w14:paraId="1B8AA4BF">
      <w:pPr>
        <w:pStyle w:val="2"/>
        <w:spacing w:line="288" w:lineRule="auto"/>
        <w:ind w:left="0"/>
        <w:rPr>
          <w:rFonts w:asciiTheme="minorEastAsia" w:hAnsiTheme="minorEastAsia" w:eastAsiaTheme="minorEastAsia" w:cstheme="minorEastAsia"/>
        </w:rPr>
      </w:pPr>
    </w:p>
    <w:p w14:paraId="1D59F35A">
      <w:pPr>
        <w:pStyle w:val="3"/>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6246198">
      <w:pPr>
        <w:pStyle w:val="3"/>
        <w:shd w:val="clear" w:color="auto" w:fill="FFFFFF"/>
        <w:spacing w:before="0" w:beforeAutospacing="0" w:after="0" w:afterAutospacing="0" w:line="288" w:lineRule="auto"/>
        <w:rPr>
          <w:rFonts w:asciiTheme="minorEastAsia" w:hAnsiTheme="minorEastAsia" w:eastAsiaTheme="minorEastAsia" w:cstheme="minorEastAsia"/>
          <w:sz w:val="21"/>
          <w:szCs w:val="21"/>
        </w:rPr>
      </w:pPr>
    </w:p>
    <w:p w14:paraId="40920B3B">
      <w:pPr>
        <w:keepNext w:val="0"/>
        <w:keepLines w:val="0"/>
        <w:pageBreakBefore w:val="0"/>
        <w:kinsoku/>
        <w:wordWrap/>
        <w:overflowPunct/>
        <w:topLinePunct w:val="0"/>
        <w:autoSpaceDE/>
        <w:autoSpaceDN/>
        <w:bidi w:val="0"/>
        <w:adjustRightInd/>
        <w:snapToGrid/>
        <w:spacing w:line="288" w:lineRule="auto"/>
        <w:textAlignment w:val="auto"/>
        <w:rPr>
          <w:sz w:val="21"/>
          <w:szCs w:val="21"/>
        </w:rPr>
      </w:pPr>
      <w:r>
        <w:rPr>
          <w:rFonts w:hint="eastAsia" w:ascii="宋体" w:hAnsi="宋体" w:eastAsia="宋体"/>
          <w:sz w:val="21"/>
          <w:szCs w:val="21"/>
        </w:rPr>
        <w:t>更多项目信息，关注上方微信公众号</w:t>
      </w:r>
    </w:p>
    <w:p w14:paraId="5B4124EB">
      <w:pPr>
        <w:keepNext w:val="0"/>
        <w:keepLines w:val="0"/>
        <w:pageBreakBefore w:val="0"/>
        <w:kinsoku/>
        <w:wordWrap/>
        <w:overflowPunct/>
        <w:topLinePunct w:val="0"/>
        <w:autoSpaceDE/>
        <w:autoSpaceDN/>
        <w:bidi w:val="0"/>
        <w:adjustRightInd/>
        <w:snapToGrid/>
        <w:spacing w:line="288" w:lineRule="auto"/>
        <w:textAlignment w:val="auto"/>
        <w:rPr>
          <w:sz w:val="21"/>
          <w:szCs w:val="21"/>
        </w:rPr>
      </w:pPr>
    </w:p>
    <w:p w14:paraId="3499ACA5">
      <w:pPr>
        <w:keepNext w:val="0"/>
        <w:keepLines w:val="0"/>
        <w:pageBreakBefore w:val="0"/>
        <w:kinsoku/>
        <w:wordWrap/>
        <w:overflowPunct/>
        <w:topLinePunct w:val="0"/>
        <w:bidi w:val="0"/>
        <w:adjustRightInd/>
        <w:snapToGrid/>
        <w:spacing w:line="288" w:lineRule="auto"/>
        <w:textAlignment w:val="auto"/>
        <w:rPr>
          <w:rFonts w:hint="default"/>
          <w:sz w:val="21"/>
          <w:szCs w:val="21"/>
          <w:lang w:val="en-US" w:eastAsia="zh-CN"/>
        </w:rPr>
      </w:pPr>
    </w:p>
    <w:sectPr>
      <w:pgSz w:w="11906" w:h="16838"/>
      <w:pgMar w:top="1440" w:right="1800" w:bottom="1440" w:left="1800"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DengXian">
    <w:altName w:val="汉仪中等线KW"/>
    <w:panose1 w:val="00000000000000000000"/>
    <w:charset w:val="86"/>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DengXian">
    <w:altName w:val="汉仪中等线KW"/>
    <w:panose1 w:val="00000000000000000000"/>
    <w:charset w:val="86"/>
    <w:family w:val="auto"/>
    <w:pitch w:val="default"/>
    <w:sig w:usb0="00000000" w:usb1="00000000" w:usb2="00000000" w:usb3="00000000" w:csb0="00000000" w:csb1="00000000"/>
  </w:font>
  <w:font w:name="DengXian">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5B1"/>
    <w:rsid w:val="00161921"/>
    <w:rsid w:val="00162002"/>
    <w:rsid w:val="0018268F"/>
    <w:rsid w:val="00225ED4"/>
    <w:rsid w:val="002369F2"/>
    <w:rsid w:val="002F0DCD"/>
    <w:rsid w:val="004D7445"/>
    <w:rsid w:val="005B35B1"/>
    <w:rsid w:val="0066111F"/>
    <w:rsid w:val="00727C61"/>
    <w:rsid w:val="00A85CED"/>
    <w:rsid w:val="00AB46B2"/>
    <w:rsid w:val="00C1386C"/>
    <w:rsid w:val="00D44F7B"/>
    <w:rsid w:val="00FC1E19"/>
    <w:rsid w:val="5EFF6057"/>
    <w:rsid w:val="6D6D8D6E"/>
    <w:rsid w:val="7EAF9C57"/>
    <w:rsid w:val="7FB7A00E"/>
    <w:rsid w:val="B48F8023"/>
    <w:rsid w:val="D78FEA56"/>
    <w:rsid w:val="EED35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43"/>
      <w:ind w:left="220"/>
    </w:pPr>
    <w:rPr>
      <w:sz w:val="21"/>
      <w:szCs w:val="21"/>
    </w:rPr>
  </w:style>
  <w:style w:type="paragraph" w:styleId="3">
    <w:name w:val="Normal (Web)"/>
    <w:basedOn w:val="1"/>
    <w:semiHidden/>
    <w:unhideWhenUsed/>
    <w:qFormat/>
    <w:uiPriority w:val="99"/>
    <w:rPr>
      <w:rFonts w:ascii="Times New Roman" w:hAnsi="Times New Roman" w:cs="Times New Roman"/>
      <w:sz w:val="24"/>
      <w:szCs w:val="24"/>
    </w:rPr>
  </w:style>
  <w:style w:type="table" w:styleId="5">
    <w:name w:val="Table Grid"/>
    <w:basedOn w:val="4"/>
    <w:qFormat/>
    <w:uiPriority w:val="0"/>
    <w:pPr>
      <w:widowControl w:val="0"/>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FollowedHyperlink"/>
    <w:basedOn w:val="6"/>
    <w:semiHidden/>
    <w:unhideWhenUsed/>
    <w:uiPriority w:val="99"/>
    <w:rPr>
      <w:color w:val="954F72" w:themeColor="followedHyperlink"/>
      <w:u w:val="single"/>
      <w14:textFill>
        <w14:solidFill>
          <w14:schemeClr w14:val="folHlink"/>
        </w14:solidFill>
      </w14:textFill>
    </w:rPr>
  </w:style>
  <w:style w:type="character" w:styleId="8">
    <w:name w:val="Hyperlink"/>
    <w:basedOn w:val="6"/>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383</Words>
  <Characters>2185</Characters>
  <Lines>18</Lines>
  <Paragraphs>5</Paragraphs>
  <TotalTime>1</TotalTime>
  <ScaleCrop>false</ScaleCrop>
  <LinksUpToDate>false</LinksUpToDate>
  <CharactersWithSpaces>2563</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2026-03-21T00:05:00Z</dcterms:created>
  <dc:creator>Microsoft Office User</dc:creator>
  <cp:lastModifiedBy>白大梦。</cp:lastModifiedBy>
  <dcterms:modified xsi:type="dcterms:W3CDTF">2026-03-20T10:10:26Z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37676033ABD3D75EDE51BB691C602D40_42</vt:lpwstr>
  </property>
</Properties>
</file>