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4E824">
      <w:pPr>
        <w:keepNext w:val="0"/>
        <w:keepLines w:val="0"/>
        <w:pageBreakBefore w:val="0"/>
        <w:kinsoku/>
        <w:wordWrap/>
        <w:overflowPunct/>
        <w:topLinePunct w:val="0"/>
        <w:bidi w:val="0"/>
        <w:snapToGrid/>
        <w:spacing w:before="0" w:beforeAutospacing="0" w:after="0" w:afterAutospacing="0" w:line="288" w:lineRule="auto"/>
        <w:jc w:val="center"/>
        <w:textAlignment w:val="auto"/>
        <w:rPr>
          <w:rFonts w:ascii="宋体" w:hAnsi="宋体" w:eastAsia="宋体"/>
          <w:b/>
          <w:lang w:eastAsia="zh-CN"/>
        </w:rPr>
      </w:pPr>
      <w:r>
        <w:rPr>
          <w:rFonts w:hint="eastAsia" w:ascii="宋体" w:hAnsi="宋体" w:eastAsia="宋体"/>
          <w:b/>
          <w:lang w:eastAsia="zh-CN"/>
        </w:rPr>
        <w:t>关于选拔牛津大学202</w:t>
      </w:r>
      <w:r>
        <w:rPr>
          <w:rFonts w:ascii="宋体" w:hAnsi="宋体" w:eastAsia="宋体"/>
          <w:b/>
          <w:lang w:eastAsia="zh-CN"/>
        </w:rPr>
        <w:t>6</w:t>
      </w:r>
      <w:r>
        <w:rPr>
          <w:rFonts w:hint="eastAsia" w:ascii="宋体" w:hAnsi="宋体" w:eastAsia="宋体"/>
          <w:b/>
          <w:lang w:eastAsia="zh-CN"/>
        </w:rPr>
        <w:t>年暑期临床医学应用技能培养项目通知</w:t>
      </w:r>
    </w:p>
    <w:p w14:paraId="019AFC65">
      <w:pPr>
        <w:keepNext w:val="0"/>
        <w:keepLines w:val="0"/>
        <w:pageBreakBefore w:val="0"/>
        <w:kinsoku/>
        <w:wordWrap/>
        <w:overflowPunct/>
        <w:topLinePunct w:val="0"/>
        <w:bidi w:val="0"/>
        <w:snapToGrid/>
        <w:spacing w:before="0" w:beforeAutospacing="0" w:after="0" w:afterAutospacing="0" w:line="288" w:lineRule="auto"/>
        <w:ind w:firstLine="420" w:firstLineChars="200"/>
        <w:textAlignment w:val="auto"/>
        <w:rPr>
          <w:rFonts w:hint="eastAsia" w:ascii="宋体" w:hAnsi="宋体" w:eastAsia="宋体" w:cs="宋体"/>
          <w:color w:val="1F2225"/>
          <w:sz w:val="21"/>
          <w:szCs w:val="21"/>
          <w:lang w:eastAsia="zh-CN"/>
        </w:rPr>
      </w:pPr>
      <w:r>
        <w:rPr>
          <w:rFonts w:hint="eastAsia" w:ascii="宋体" w:hAnsi="宋体" w:eastAsia="宋体" w:cs="宋体"/>
          <w:color w:val="1F2225"/>
          <w:sz w:val="21"/>
          <w:szCs w:val="21"/>
          <w:lang w:eastAsia="zh-CN"/>
        </w:rPr>
        <w:t>为实施我校国际化战略，帮助我校学生有机会参加世界一流大学的学习，也为了部分同学毕业后赴世界一流大学或研究机构继续深造，特组织牛津大学</w:t>
      </w:r>
      <w:r>
        <w:rPr>
          <w:rFonts w:ascii="宋体" w:hAnsi="宋体" w:eastAsia="宋体"/>
          <w:color w:val="1F2225"/>
          <w:sz w:val="21"/>
          <w:szCs w:val="21"/>
          <w:lang w:eastAsia="zh-CN"/>
        </w:rPr>
        <w:t>2026</w:t>
      </w:r>
      <w:r>
        <w:rPr>
          <w:rFonts w:hint="eastAsia" w:ascii="宋体" w:hAnsi="宋体" w:eastAsia="宋体" w:cs="宋体"/>
          <w:color w:val="1F2225"/>
          <w:sz w:val="21"/>
          <w:szCs w:val="21"/>
          <w:lang w:eastAsia="zh-CN"/>
        </w:rPr>
        <w:t>年</w:t>
      </w:r>
      <w:r>
        <w:rPr>
          <w:rFonts w:hint="eastAsia" w:ascii="宋体" w:hAnsi="宋体" w:eastAsia="宋体" w:cs="宋体"/>
          <w:color w:val="1F2225"/>
          <w:sz w:val="21"/>
          <w:szCs w:val="21"/>
          <w:lang w:val="en-US" w:eastAsia="zh-CN"/>
        </w:rPr>
        <w:t>暑期</w:t>
      </w:r>
      <w:r>
        <w:rPr>
          <w:rFonts w:hint="eastAsia" w:ascii="宋体" w:hAnsi="宋体" w:eastAsia="宋体" w:cs="宋体"/>
          <w:color w:val="1F2225"/>
          <w:sz w:val="21"/>
          <w:szCs w:val="21"/>
          <w:lang w:eastAsia="zh-CN"/>
        </w:rPr>
        <w:t>临床应用技能培养项目。项目期间，同学们将赴牛津大学，有幸师从于牛津医学的专家、教授，并与其进行直接交流，深入学习英国医疗体系下的临床实践和技能，并获得官方证书，为后续海外名校申研、更高学术造诣深造和职业发展提供海外学术背景强力支持。现将相关事项通知如下：</w:t>
      </w:r>
    </w:p>
    <w:p w14:paraId="38932D29">
      <w:pPr>
        <w:keepNext w:val="0"/>
        <w:keepLines w:val="0"/>
        <w:pageBreakBefore w:val="0"/>
        <w:kinsoku/>
        <w:wordWrap/>
        <w:overflowPunct/>
        <w:topLinePunct w:val="0"/>
        <w:bidi w:val="0"/>
        <w:snapToGrid/>
        <w:spacing w:before="0" w:beforeAutospacing="0" w:after="0" w:afterAutospacing="0" w:line="288" w:lineRule="auto"/>
        <w:ind w:firstLine="420" w:firstLineChars="200"/>
        <w:textAlignment w:val="auto"/>
        <w:rPr>
          <w:rFonts w:hint="eastAsia" w:ascii="宋体" w:hAnsi="宋体" w:eastAsia="宋体" w:cs="宋体"/>
          <w:color w:val="1F2225"/>
          <w:sz w:val="21"/>
          <w:szCs w:val="21"/>
          <w:lang w:eastAsia="zh-CN"/>
        </w:rPr>
      </w:pPr>
      <w:bookmarkStart w:id="2" w:name="_GoBack"/>
      <w:bookmarkEnd w:id="2"/>
    </w:p>
    <w:p w14:paraId="45DA2C11">
      <w:pPr>
        <w:pStyle w:val="6"/>
        <w:keepNext w:val="0"/>
        <w:keepLines w:val="0"/>
        <w:pageBreakBefore w:val="0"/>
        <w:widowControl w:val="0"/>
        <w:kinsoku/>
        <w:wordWrap/>
        <w:overflowPunct/>
        <w:topLinePunct w:val="0"/>
        <w:bidi w:val="0"/>
        <w:snapToGrid/>
        <w:spacing w:before="0" w:beforeAutospacing="0" w:after="0" w:afterAutospacing="0" w:line="288" w:lineRule="auto"/>
        <w:ind w:left="0" w:leftChars="0" w:firstLine="0" w:firstLineChars="0"/>
        <w:textAlignment w:val="auto"/>
        <w:rPr>
          <w:rFonts w:eastAsia="宋体"/>
          <w:color w:val="FF0000"/>
          <w:sz w:val="21"/>
          <w:szCs w:val="21"/>
          <w:lang w:val="en-US"/>
        </w:rPr>
      </w:pPr>
      <w:r>
        <w:rPr>
          <w:rFonts w:hint="eastAsia" w:eastAsia="宋体"/>
          <w:color w:val="FF0000"/>
          <w:sz w:val="21"/>
          <w:szCs w:val="21"/>
          <w:lang w:val="en-US"/>
        </w:rPr>
        <w:t>重要提醒：提前办理护照！参加学生众多，整个团队</w:t>
      </w:r>
      <w:r>
        <w:rPr>
          <w:rFonts w:eastAsia="宋体"/>
          <w:color w:val="FF0000"/>
          <w:sz w:val="21"/>
          <w:szCs w:val="21"/>
          <w:lang w:val="en-US"/>
        </w:rPr>
        <w:t>5</w:t>
      </w:r>
      <w:r>
        <w:rPr>
          <w:rFonts w:hint="eastAsia" w:eastAsia="宋体"/>
          <w:color w:val="FF0000"/>
          <w:sz w:val="21"/>
          <w:szCs w:val="21"/>
          <w:lang w:val="en-US"/>
        </w:rPr>
        <w:t>月就开始签证。</w:t>
      </w:r>
    </w:p>
    <w:p w14:paraId="5DD9659C">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000000" w:themeColor="text1"/>
          <w:sz w:val="21"/>
          <w:szCs w:val="21"/>
          <w:lang w:eastAsia="zh-CN"/>
          <w14:textFill>
            <w14:solidFill>
              <w14:schemeClr w14:val="tx1"/>
            </w14:solidFill>
          </w14:textFill>
        </w:rPr>
      </w:pPr>
    </w:p>
    <w:p w14:paraId="781BFEEA">
      <w:pPr>
        <w:pStyle w:val="6"/>
        <w:keepNext w:val="0"/>
        <w:keepLines w:val="0"/>
        <w:pageBreakBefore w:val="0"/>
        <w:kinsoku/>
        <w:wordWrap/>
        <w:overflowPunct/>
        <w:topLinePunct w:val="0"/>
        <w:bidi w:val="0"/>
        <w:snapToGrid/>
        <w:spacing w:before="0" w:beforeAutospacing="0" w:line="288" w:lineRule="auto"/>
        <w:ind w:left="0"/>
        <w:textAlignment w:val="auto"/>
        <w:rPr>
          <w:rFonts w:eastAsia="宋体"/>
          <w:sz w:val="21"/>
          <w:szCs w:val="21"/>
        </w:rPr>
      </w:pPr>
      <w:r>
        <w:rPr>
          <w:rFonts w:hint="eastAsia" w:eastAsia="宋体"/>
          <w:sz w:val="21"/>
          <w:szCs w:val="21"/>
        </w:rPr>
        <w:t>更多项目素材（宣讲视频），可点击下方链接查看</w:t>
      </w:r>
    </w:p>
    <w:p w14:paraId="650F50C4">
      <w:pPr>
        <w:pStyle w:val="6"/>
        <w:keepNext w:val="0"/>
        <w:keepLines w:val="0"/>
        <w:pageBreakBefore w:val="0"/>
        <w:widowControl w:val="0"/>
        <w:kinsoku/>
        <w:wordWrap/>
        <w:overflowPunct/>
        <w:topLinePunct w:val="0"/>
        <w:bidi w:val="0"/>
        <w:snapToGrid/>
        <w:spacing w:line="288" w:lineRule="auto"/>
        <w:ind w:left="0"/>
        <w:textAlignment w:val="auto"/>
        <w:rPr>
          <w:rFonts w:eastAsia="宋体"/>
          <w:spacing w:val="-2"/>
          <w:sz w:val="21"/>
          <w:szCs w:val="21"/>
          <w:lang w:val="en-US"/>
        </w:rPr>
      </w:pPr>
      <w:r>
        <w:fldChar w:fldCharType="begin"/>
      </w:r>
      <w:r>
        <w:instrText xml:space="preserve"> HYPERLINK "https://pan.baidu.com/s/1OYDt5UifwDijAhB6ZiPIAQ?pwd=jajb" </w:instrText>
      </w:r>
      <w:r>
        <w:fldChar w:fldCharType="separate"/>
      </w:r>
      <w:r>
        <w:rPr>
          <w:rFonts w:hint="eastAsia" w:eastAsia="宋体"/>
          <w:spacing w:val="-2"/>
          <w:sz w:val="21"/>
          <w:szCs w:val="21"/>
          <w:lang w:val="en-US"/>
        </w:rPr>
        <w:t>https://pan.baidu.com/s/1OYDt5UifwDijAhB6ZiPIAQ?pwd=jajb</w:t>
      </w:r>
      <w:r>
        <w:rPr>
          <w:rFonts w:hint="eastAsia" w:eastAsia="宋体"/>
          <w:spacing w:val="-2"/>
          <w:sz w:val="21"/>
          <w:szCs w:val="21"/>
          <w:lang w:val="en-US"/>
        </w:rPr>
        <w:fldChar w:fldCharType="end"/>
      </w:r>
    </w:p>
    <w:p w14:paraId="179A4F7D">
      <w:pPr>
        <w:pStyle w:val="6"/>
        <w:keepNext w:val="0"/>
        <w:keepLines w:val="0"/>
        <w:pageBreakBefore w:val="0"/>
        <w:kinsoku/>
        <w:wordWrap/>
        <w:overflowPunct/>
        <w:topLinePunct w:val="0"/>
        <w:bidi w:val="0"/>
        <w:snapToGrid/>
        <w:spacing w:line="288" w:lineRule="auto"/>
        <w:ind w:left="0"/>
        <w:textAlignment w:val="auto"/>
        <w:rPr>
          <w:rFonts w:eastAsia="宋体" w:cs="Calibri"/>
          <w:szCs w:val="21"/>
          <w:lang w:val="en-US"/>
        </w:rPr>
      </w:pPr>
    </w:p>
    <w:p w14:paraId="15E8318C">
      <w:pPr>
        <w:pStyle w:val="25"/>
        <w:keepNext w:val="0"/>
        <w:keepLines w:val="0"/>
        <w:pageBreakBefore w:val="0"/>
        <w:kinsoku/>
        <w:wordWrap/>
        <w:overflowPunct/>
        <w:topLinePunct w:val="0"/>
        <w:bidi w:val="0"/>
        <w:snapToGrid/>
        <w:spacing w:afterAutospacing="0" w:line="288" w:lineRule="auto"/>
        <w:jc w:val="both"/>
        <w:textAlignment w:val="auto"/>
        <w:rPr>
          <w:rFonts w:eastAsia="宋体"/>
          <w:bCs/>
          <w:color w:val="000000" w:themeColor="text1"/>
          <w:sz w:val="21"/>
          <w:szCs w:val="21"/>
          <w14:textFill>
            <w14:solidFill>
              <w14:schemeClr w14:val="tx1"/>
            </w14:solidFill>
          </w14:textFill>
        </w:rPr>
      </w:pPr>
      <w:r>
        <w:rPr>
          <w:rFonts w:hint="eastAsia" w:eastAsia="宋体"/>
          <w:b/>
          <w:sz w:val="21"/>
          <w:szCs w:val="21"/>
        </w:rPr>
        <w:t>独特优势：</w:t>
      </w:r>
      <w:r>
        <w:rPr>
          <w:rFonts w:hint="eastAsia" w:eastAsia="宋体"/>
          <w:bCs/>
          <w:color w:val="000000" w:themeColor="text1"/>
          <w:sz w:val="21"/>
          <w:szCs w:val="21"/>
          <w14:textFill>
            <w14:solidFill>
              <w14:schemeClr w14:val="tx1"/>
            </w14:solidFill>
          </w14:textFill>
        </w:rPr>
        <w:t>由牛津大学医学院直属部门直接组织管理，课程沿用牛津大学本地学生的教学体系和架构。专家教授将提前了解参与学生的专业知识水平，对课程方向和难度进行动态调整。获得牛津大学医学院的官方证书和医学院官方系统注册权，从而获得牛津大学网络课程访问权限和校内课程资源。牛津大学原汁原味的课程体系和获得学校官方系统权限是官方项目的最高体现。项目对学生的整个职业生涯起到引导和启发的教育，是书本上学不到的知识和技能！</w:t>
      </w:r>
    </w:p>
    <w:p w14:paraId="5A2E861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s="宋体"/>
          <w:color w:val="1F2225"/>
          <w:sz w:val="21"/>
          <w:szCs w:val="21"/>
          <w:lang w:eastAsia="zh-CN"/>
        </w:rPr>
      </w:pPr>
    </w:p>
    <w:p w14:paraId="1D6F3318">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sz w:val="21"/>
          <w:szCs w:val="21"/>
          <w:lang w:eastAsia="zh-CN"/>
        </w:rPr>
      </w:pPr>
      <w:r>
        <w:rPr>
          <w:rFonts w:hint="eastAsia" w:ascii="宋体" w:hAnsi="宋体" w:eastAsia="宋体" w:cs="宋体"/>
          <w:b/>
          <w:color w:val="1F2225"/>
          <w:sz w:val="21"/>
          <w:szCs w:val="21"/>
          <w:lang w:eastAsia="zh-CN"/>
        </w:rPr>
        <w:t>一、学校简介</w:t>
      </w:r>
    </w:p>
    <w:p w14:paraId="4E07EA32">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hint="eastAsia" w:ascii="宋体" w:hAnsi="宋体" w:eastAsia="宋体" w:cs="宋体"/>
          <w:color w:val="1F2225"/>
          <w:sz w:val="21"/>
          <w:szCs w:val="21"/>
          <w:lang w:eastAsia="zh-CN"/>
        </w:rPr>
        <w:t>牛</w:t>
      </w:r>
      <w:r>
        <w:rPr>
          <w:rFonts w:ascii="宋体" w:hAnsi="宋体" w:eastAsia="宋体"/>
          <w:color w:val="1F2225"/>
          <w:sz w:val="21"/>
          <w:szCs w:val="21"/>
          <w:lang w:eastAsia="zh-CN"/>
        </w:rPr>
        <w:t>津大学是英语世界最古老的大学，拥有逾九百年历史。作为全球顶尖学府之一，牛津已连续</w:t>
      </w:r>
      <w:r>
        <w:rPr>
          <w:rFonts w:hint="eastAsia" w:ascii="宋体" w:hAnsi="宋体" w:eastAsia="宋体"/>
          <w:color w:val="1F2225"/>
          <w:sz w:val="21"/>
          <w:szCs w:val="21"/>
          <w:lang w:val="en-US" w:eastAsia="zh-CN"/>
        </w:rPr>
        <w:t>十</w:t>
      </w:r>
      <w:r>
        <w:rPr>
          <w:rFonts w:ascii="宋体" w:hAnsi="宋体" w:eastAsia="宋体"/>
          <w:color w:val="1F2225"/>
          <w:sz w:val="21"/>
          <w:szCs w:val="21"/>
          <w:lang w:eastAsia="zh-CN"/>
        </w:rPr>
        <w:t>年位列泰晤士高等教育世界大学排名第一，孕育了72位诺贝尔奖得主、3位菲尔兹奖得主及6位图灵奖得主，被誉为“天才与首相的摇篮”和“梦幻尖塔之城”。这里不仅传承深厚的人文精神，更汇聚世界最前沿的学术创新力量。</w:t>
      </w:r>
    </w:p>
    <w:p w14:paraId="5D33506D">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r>
        <w:rPr>
          <w:rFonts w:hint="eastAsia" w:ascii="宋体" w:hAnsi="宋体" w:eastAsia="宋体" w:cs="宋体"/>
          <w:color w:val="1F2225"/>
          <w:sz w:val="21"/>
          <w:szCs w:val="21"/>
          <w:lang w:eastAsia="zh-CN"/>
        </w:rPr>
        <w:t>牛津大学医学科学领域同样享誉全球，连续十四年位居泰晤士高等教育医学相关学科世界第一，在</w:t>
      </w:r>
      <w:r>
        <w:rPr>
          <w:rFonts w:ascii="宋体" w:hAnsi="宋体" w:eastAsia="宋体"/>
          <w:color w:val="1F2225"/>
          <w:sz w:val="21"/>
          <w:szCs w:val="21"/>
          <w:lang w:eastAsia="zh-CN"/>
        </w:rPr>
        <w:t>QS</w:t>
      </w:r>
      <w:r>
        <w:rPr>
          <w:rFonts w:hint="eastAsia" w:ascii="宋体" w:hAnsi="宋体" w:eastAsia="宋体" w:cs="宋体"/>
          <w:color w:val="1F2225"/>
          <w:sz w:val="21"/>
          <w:szCs w:val="21"/>
          <w:lang w:eastAsia="zh-CN"/>
        </w:rPr>
        <w:t>世界大学学科排名中位列世界第二、欧洲第一。作为欧洲领先的生物医学研究中心之一，牛津每年产出数千项高水平科研成果，并持续推动科研成果转化，孵化大量科技创新企业。世界第一支青霉素和新冠疫苗均诞生于此。牛津医学以卓越的科研实力与临床教育体系，引领全球医学发展的方向。</w:t>
      </w:r>
    </w:p>
    <w:p w14:paraId="72165AD8">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p>
    <w:p w14:paraId="2BA4459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sz w:val="21"/>
          <w:szCs w:val="21"/>
          <w:lang w:eastAsia="zh-CN"/>
        </w:rPr>
      </w:pPr>
      <w:r>
        <w:rPr>
          <w:rFonts w:hint="eastAsia" w:ascii="宋体" w:hAnsi="宋体" w:eastAsia="宋体" w:cs="宋体"/>
          <w:b/>
          <w:color w:val="1F2225"/>
          <w:sz w:val="21"/>
          <w:szCs w:val="21"/>
          <w:lang w:eastAsia="zh-CN"/>
        </w:rPr>
        <w:t>二、城市介绍</w:t>
      </w:r>
    </w:p>
    <w:p w14:paraId="580D99D3">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bCs/>
          <w:sz w:val="21"/>
          <w:szCs w:val="21"/>
          <w:lang w:eastAsia="zh-CN"/>
        </w:rPr>
      </w:pPr>
      <w:r>
        <w:rPr>
          <w:rFonts w:hint="eastAsia" w:ascii="宋体" w:hAnsi="宋体" w:eastAsia="宋体" w:cs="宋体"/>
          <w:b/>
          <w:bCs/>
          <w:color w:val="1F2225"/>
          <w:sz w:val="21"/>
          <w:szCs w:val="21"/>
          <w:lang w:eastAsia="zh-CN"/>
        </w:rPr>
        <w:t>牛</w:t>
      </w:r>
      <w:r>
        <w:rPr>
          <w:rFonts w:ascii="宋体" w:hAnsi="宋体" w:eastAsia="宋体"/>
          <w:b/>
          <w:bCs/>
          <w:color w:val="1F2225"/>
          <w:sz w:val="21"/>
          <w:szCs w:val="21"/>
          <w:lang w:eastAsia="zh-CN"/>
        </w:rPr>
        <w:t>津</w:t>
      </w:r>
    </w:p>
    <w:p w14:paraId="1CD31ECD">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牛津是英国历史最悠久的大学城之一，以牛津大学及其学院体系闻名于世。城市整体规模紧凑，以学院建筑群为核心，融合哥特式、新古典主义与维多利亚时期建筑风格，形成独特的学术景观。拉德克利夫图书馆、博德利图书馆及基督堂学院等地标构成典型的“学院制城市”格局。</w:t>
      </w:r>
    </w:p>
    <w:p w14:paraId="6A516E92">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作为英国重要的学术与出版中心，牛津长期保持浓厚的知识传统与研究氛围。与此同时，牛津亦是多部文学与影视作品的灵感来源与取景地，包括《哈利·波特》、《指环王》、《纳尼亚传奇》与《爱丽丝梦游仙境》等，使城市兼具历史文化厚度与现代流行文化影响力。</w:t>
      </w:r>
    </w:p>
    <w:p w14:paraId="510BB78C">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bCs/>
          <w:sz w:val="21"/>
          <w:szCs w:val="21"/>
          <w:lang w:eastAsia="zh-CN"/>
        </w:rPr>
      </w:pPr>
      <w:r>
        <w:rPr>
          <w:rFonts w:ascii="宋体" w:hAnsi="宋体" w:eastAsia="宋体"/>
          <w:b/>
          <w:bCs/>
          <w:color w:val="1F2225"/>
          <w:sz w:val="21"/>
          <w:szCs w:val="21"/>
          <w:lang w:eastAsia="zh-CN"/>
        </w:rPr>
        <w:t>伦敦</w:t>
      </w:r>
    </w:p>
    <w:p w14:paraId="2A8EA1EC">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r>
        <w:rPr>
          <w:rFonts w:hint="eastAsia" w:ascii="宋体" w:hAnsi="宋体" w:eastAsia="宋体" w:cs="宋体"/>
          <w:color w:val="1F2225"/>
          <w:sz w:val="21"/>
          <w:szCs w:val="21"/>
          <w:lang w:eastAsia="zh-CN"/>
        </w:rPr>
        <w:t>伦敦是英国首都及国家政治、经济与文化中心，也是全球最具影响力的国际都市之一。伦敦是全世界博物馆、图书馆、电影院、戏剧院、体育场馆数量最多的城市。拥有大本钟、威斯特敏斯特宫、伦敦眼、白金汉宫等标志性建筑；拥有大英博物馆、国家美术馆等世界级艺术机构；西区剧院是音乐剧发源地，常年上演《悲惨世界》《歌剧魅影》等经典剧目。它古老而现代，优雅而奔放，传统而创新，彰显着其独有的魅力。</w:t>
      </w:r>
    </w:p>
    <w:p w14:paraId="15977070">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p>
    <w:p w14:paraId="4DB02897">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s="宋体"/>
          <w:b/>
          <w:color w:val="1F2225"/>
          <w:sz w:val="21"/>
          <w:szCs w:val="21"/>
          <w:lang w:eastAsia="zh-CN"/>
        </w:rPr>
      </w:pPr>
      <w:r>
        <w:rPr>
          <w:rFonts w:hint="eastAsia" w:ascii="宋体" w:hAnsi="宋体" w:eastAsia="宋体" w:cs="宋体"/>
          <w:b/>
          <w:color w:val="1F2225"/>
          <w:sz w:val="21"/>
          <w:szCs w:val="21"/>
          <w:lang w:eastAsia="zh-CN"/>
        </w:rPr>
        <w:t>三、项目优势</w:t>
      </w:r>
    </w:p>
    <w:p w14:paraId="5370E273">
      <w:pPr>
        <w:pStyle w:val="25"/>
        <w:keepNext w:val="0"/>
        <w:keepLines w:val="0"/>
        <w:pageBreakBefore w:val="0"/>
        <w:numPr>
          <w:ilvl w:val="0"/>
          <w:numId w:val="1"/>
        </w:numPr>
        <w:kinsoku/>
        <w:wordWrap/>
        <w:overflowPunct/>
        <w:topLinePunct w:val="0"/>
        <w:bidi w:val="0"/>
        <w:snapToGrid/>
        <w:spacing w:beforeAutospacing="0" w:line="288" w:lineRule="auto"/>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lang w:val="en-GB"/>
          <w14:textFill>
            <w14:solidFill>
              <w14:schemeClr w14:val="tx1"/>
            </w14:solidFill>
          </w14:textFill>
        </w:rPr>
        <w:t>因材施教</w:t>
      </w:r>
      <w:r>
        <w:rPr>
          <w:rFonts w:hint="eastAsia" w:eastAsia="宋体"/>
          <w:color w:val="000000" w:themeColor="text1"/>
          <w:sz w:val="21"/>
          <w:szCs w:val="21"/>
          <w14:textFill>
            <w14:solidFill>
              <w14:schemeClr w14:val="tx1"/>
            </w14:solidFill>
          </w14:textFill>
        </w:rPr>
        <w:t>：</w:t>
      </w:r>
      <w:r>
        <w:rPr>
          <w:rFonts w:eastAsia="宋体"/>
          <w:color w:val="000000" w:themeColor="text1"/>
          <w:sz w:val="21"/>
          <w:szCs w:val="21"/>
          <w14:textFill>
            <w14:solidFill>
              <w14:schemeClr w14:val="tx1"/>
            </w14:solidFill>
          </w14:textFill>
        </w:rPr>
        <w:t>无论是大一学生还是研究生都能根据自身背景获得相应的学习深度与成长空间</w:t>
      </w:r>
      <w:r>
        <w:rPr>
          <w:rFonts w:hint="eastAsia" w:eastAsia="宋体"/>
          <w:color w:val="000000" w:themeColor="text1"/>
          <w:sz w:val="21"/>
          <w:szCs w:val="21"/>
          <w14:textFill>
            <w14:solidFill>
              <w14:schemeClr w14:val="tx1"/>
            </w14:solidFill>
          </w14:textFill>
        </w:rPr>
        <w:t>，</w:t>
      </w:r>
      <w:r>
        <w:rPr>
          <w:rFonts w:hint="eastAsia" w:eastAsia="宋体"/>
          <w:bCs/>
          <w:color w:val="000000" w:themeColor="text1"/>
          <w:sz w:val="21"/>
          <w:szCs w:val="21"/>
          <w:lang w:val="en-GB"/>
          <w14:textFill>
            <w14:solidFill>
              <w14:schemeClr w14:val="tx1"/>
            </w14:solidFill>
          </w14:textFill>
        </w:rPr>
        <w:t>由牛津大学的知名教授和附属医院医生授课，将前沿、重要的知识点根据听课学生的水平进行动态调整，从而使各年级和知识水平学生在课堂上都能理解，课堂配备中文助教老师，辅导学生的听课和作业完成质量，确保学生顺利完成项目；</w:t>
      </w:r>
    </w:p>
    <w:p w14:paraId="2CAC2EA5">
      <w:pPr>
        <w:pStyle w:val="25"/>
        <w:keepNext w:val="0"/>
        <w:keepLines w:val="0"/>
        <w:pageBreakBefore w:val="0"/>
        <w:numPr>
          <w:ilvl w:val="0"/>
          <w:numId w:val="1"/>
        </w:numPr>
        <w:kinsoku/>
        <w:wordWrap/>
        <w:overflowPunct/>
        <w:topLinePunct w:val="0"/>
        <w:bidi w:val="0"/>
        <w:snapToGrid/>
        <w:spacing w:line="288" w:lineRule="auto"/>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双证书：</w:t>
      </w:r>
      <w:r>
        <w:rPr>
          <w:rFonts w:eastAsia="宋体"/>
          <w:bCs/>
          <w:color w:val="000000" w:themeColor="text1"/>
          <w:sz w:val="21"/>
          <w:szCs w:val="21"/>
          <w14:textFill>
            <w14:solidFill>
              <w14:schemeClr w14:val="tx1"/>
            </w14:solidFill>
          </w14:textFill>
        </w:rPr>
        <w:t>学生</w:t>
      </w:r>
      <w:r>
        <w:rPr>
          <w:rFonts w:hint="eastAsia" w:eastAsia="宋体"/>
          <w:bCs/>
          <w:color w:val="000000" w:themeColor="text1"/>
          <w:sz w:val="21"/>
          <w:szCs w:val="21"/>
          <w14:textFill>
            <w14:solidFill>
              <w14:schemeClr w14:val="tx1"/>
            </w14:solidFill>
          </w14:textFill>
        </w:rPr>
        <w:t>获得牛津大学医学院官方证书外，还</w:t>
      </w:r>
      <w:r>
        <w:rPr>
          <w:rFonts w:eastAsia="宋体"/>
          <w:bCs/>
          <w:color w:val="000000" w:themeColor="text1"/>
          <w:sz w:val="21"/>
          <w:szCs w:val="21"/>
          <w14:textFill>
            <w14:solidFill>
              <w14:schemeClr w14:val="tx1"/>
            </w14:solidFill>
          </w14:textFill>
        </w:rPr>
        <w:t>将拥有6周</w:t>
      </w:r>
      <w:r>
        <w:rPr>
          <w:rFonts w:hint="eastAsia" w:eastAsia="宋体"/>
          <w:bCs/>
          <w:color w:val="000000" w:themeColor="text1"/>
          <w:sz w:val="21"/>
          <w:szCs w:val="21"/>
          <w14:textFill>
            <w14:solidFill>
              <w14:schemeClr w14:val="tx1"/>
            </w14:solidFill>
          </w14:textFill>
        </w:rPr>
        <w:t>线上课程</w:t>
      </w:r>
      <w:r>
        <w:rPr>
          <w:rFonts w:eastAsia="宋体"/>
          <w:bCs/>
          <w:color w:val="000000" w:themeColor="text1"/>
          <w:sz w:val="21"/>
          <w:szCs w:val="21"/>
          <w14:textFill>
            <w14:solidFill>
              <w14:schemeClr w14:val="tx1"/>
            </w14:solidFill>
          </w14:textFill>
        </w:rPr>
        <w:t>访问期，内容涵盖课前预习、课堂辅助学习及课后的复习巩固，完成后还</w:t>
      </w:r>
      <w:r>
        <w:rPr>
          <w:rFonts w:hint="eastAsia" w:eastAsia="宋体"/>
          <w:bCs/>
          <w:color w:val="000000" w:themeColor="text1"/>
          <w:sz w:val="21"/>
          <w:szCs w:val="21"/>
          <w14:textFill>
            <w14:solidFill>
              <w14:schemeClr w14:val="tx1"/>
            </w14:solidFill>
          </w14:textFill>
        </w:rPr>
        <w:t>将额外获得</w:t>
      </w:r>
      <w:r>
        <w:rPr>
          <w:rFonts w:eastAsia="宋体"/>
          <w:bCs/>
          <w:color w:val="000000" w:themeColor="text1"/>
          <w:sz w:val="21"/>
          <w:szCs w:val="21"/>
          <w14:textFill>
            <w14:solidFill>
              <w14:schemeClr w14:val="tx1"/>
            </w14:solidFill>
          </w14:textFill>
        </w:rPr>
        <w:t>牛津大学网络课程学习证书</w:t>
      </w:r>
      <w:r>
        <w:rPr>
          <w:rFonts w:hint="eastAsia" w:eastAsia="宋体"/>
          <w:bCs/>
          <w:color w:val="000000" w:themeColor="text1"/>
          <w:sz w:val="21"/>
          <w:szCs w:val="21"/>
          <w14:textFill>
            <w14:solidFill>
              <w14:schemeClr w14:val="tx1"/>
            </w14:solidFill>
          </w14:textFill>
        </w:rPr>
        <w:t>；</w:t>
      </w:r>
    </w:p>
    <w:p w14:paraId="648633C0">
      <w:pPr>
        <w:pStyle w:val="25"/>
        <w:keepNext w:val="0"/>
        <w:keepLines w:val="0"/>
        <w:pageBreakBefore w:val="0"/>
        <w:numPr>
          <w:ilvl w:val="0"/>
          <w:numId w:val="1"/>
        </w:numPr>
        <w:kinsoku/>
        <w:wordWrap/>
        <w:overflowPunct/>
        <w:topLinePunct w:val="0"/>
        <w:bidi w:val="0"/>
        <w:snapToGrid/>
        <w:spacing w:line="288" w:lineRule="auto"/>
        <w:jc w:val="both"/>
        <w:textAlignment w:val="auto"/>
        <w:rPr>
          <w:rFonts w:eastAsia="宋体"/>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学院和附属医院双体验：</w:t>
      </w:r>
      <w:r>
        <w:rPr>
          <w:rFonts w:hint="eastAsia" w:eastAsia="宋体"/>
          <w:bCs/>
          <w:color w:val="000000" w:themeColor="text1"/>
          <w:sz w:val="21"/>
          <w:szCs w:val="21"/>
          <w14:textFill>
            <w14:solidFill>
              <w14:schemeClr w14:val="tx1"/>
            </w14:solidFill>
          </w14:textFill>
        </w:rPr>
        <w:t>同学们将被安排在牛津大学的学院和附属医院学习，既感受浓浓的学院制学术氛围，也将体验世界一流医院的医疗环境。（具体安排由校方根据实际情况调整）；</w:t>
      </w:r>
    </w:p>
    <w:p w14:paraId="0B7C355A">
      <w:pPr>
        <w:pStyle w:val="25"/>
        <w:keepNext w:val="0"/>
        <w:keepLines w:val="0"/>
        <w:pageBreakBefore w:val="0"/>
        <w:numPr>
          <w:ilvl w:val="0"/>
          <w:numId w:val="1"/>
        </w:numPr>
        <w:kinsoku/>
        <w:wordWrap/>
        <w:overflowPunct/>
        <w:topLinePunct w:val="0"/>
        <w:bidi w:val="0"/>
        <w:snapToGrid/>
        <w:spacing w:afterAutospacing="0" w:line="288" w:lineRule="auto"/>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项目成熟：</w:t>
      </w:r>
      <w:bookmarkStart w:id="0" w:name="OLE_LINK6"/>
      <w:bookmarkStart w:id="1" w:name="OLE_LINK5"/>
      <w:r>
        <w:rPr>
          <w:rFonts w:eastAsia="宋体"/>
          <w:color w:val="1F2225"/>
          <w:sz w:val="21"/>
          <w:szCs w:val="21"/>
        </w:rPr>
        <w:t>本</w:t>
      </w:r>
      <w:bookmarkEnd w:id="0"/>
      <w:bookmarkEnd w:id="1"/>
      <w:r>
        <w:rPr>
          <w:rFonts w:hint="eastAsia" w:eastAsia="宋体"/>
          <w:color w:val="1F2225"/>
          <w:sz w:val="21"/>
          <w:szCs w:val="21"/>
        </w:rPr>
        <w:t>项目</w:t>
      </w:r>
      <w:r>
        <w:rPr>
          <w:rFonts w:eastAsia="宋体"/>
          <w:color w:val="1F2225"/>
          <w:sz w:val="21"/>
          <w:szCs w:val="21"/>
        </w:rPr>
        <w:t>至今已</w:t>
      </w:r>
      <w:r>
        <w:rPr>
          <w:rFonts w:eastAsia="宋体"/>
          <w:b/>
          <w:color w:val="1F2225"/>
          <w:sz w:val="21"/>
          <w:szCs w:val="21"/>
        </w:rPr>
        <w:t>成功举办十</w:t>
      </w:r>
      <w:r>
        <w:rPr>
          <w:rFonts w:hint="eastAsia" w:eastAsia="宋体"/>
          <w:b/>
          <w:color w:val="1F2225"/>
          <w:sz w:val="21"/>
          <w:szCs w:val="21"/>
        </w:rPr>
        <w:t>二</w:t>
      </w:r>
      <w:r>
        <w:rPr>
          <w:rFonts w:eastAsia="宋体"/>
          <w:b/>
          <w:color w:val="1F2225"/>
          <w:sz w:val="21"/>
          <w:szCs w:val="21"/>
        </w:rPr>
        <w:t>届</w:t>
      </w:r>
      <w:r>
        <w:rPr>
          <w:rFonts w:eastAsia="宋体"/>
          <w:color w:val="1F2225"/>
          <w:sz w:val="21"/>
          <w:szCs w:val="21"/>
        </w:rPr>
        <w:t>，累计培养了来自多所医学院的优秀</w:t>
      </w:r>
      <w:r>
        <w:rPr>
          <w:rFonts w:hint="eastAsia" w:eastAsia="宋体"/>
          <w:color w:val="1F2225"/>
          <w:sz w:val="21"/>
          <w:szCs w:val="21"/>
        </w:rPr>
        <w:t>学生，国内拔尖院校连续派送优秀学子参加项目；往届学哥学姐通过项目，亲身体验世界一流医学院的启发式教育，无论是专业学科体系、科研方向以及职业规划都获得重要引导，以往同学通过参加项目，已经实现更高的学术追求；</w:t>
      </w:r>
    </w:p>
    <w:p w14:paraId="707AF075">
      <w:pPr>
        <w:keepNext w:val="0"/>
        <w:keepLines w:val="0"/>
        <w:pageBreakBefore w:val="0"/>
        <w:numPr>
          <w:ilvl w:val="0"/>
          <w:numId w:val="1"/>
        </w:numPr>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b/>
          <w:color w:val="1F2225"/>
          <w:sz w:val="21"/>
          <w:szCs w:val="21"/>
          <w:lang w:eastAsia="zh-CN"/>
        </w:rPr>
        <w:t>内容多元：</w:t>
      </w:r>
      <w:r>
        <w:rPr>
          <w:rFonts w:ascii="宋体" w:hAnsi="宋体" w:eastAsia="宋体"/>
          <w:color w:val="1F2225"/>
          <w:sz w:val="21"/>
          <w:szCs w:val="21"/>
          <w:lang w:eastAsia="zh-CN"/>
        </w:rPr>
        <w:t>项目由核心且前沿的临床科研课题学习、临床技能训练、循证医学的临床应用实践、医疗科研机构参访、多种主题工作坊、医学主题辩论赛、牛津城市游览、G5名校参访、牛津晚宴等组成。项目兼具临床学术、科研技能以及文化体验趣味性；</w:t>
      </w:r>
    </w:p>
    <w:p w14:paraId="1CA4D0E5">
      <w:pPr>
        <w:pStyle w:val="25"/>
        <w:keepNext w:val="0"/>
        <w:keepLines w:val="0"/>
        <w:pageBreakBefore w:val="0"/>
        <w:numPr>
          <w:ilvl w:val="0"/>
          <w:numId w:val="1"/>
        </w:numPr>
        <w:kinsoku/>
        <w:wordWrap/>
        <w:overflowPunct/>
        <w:topLinePunct w:val="0"/>
        <w:bidi w:val="0"/>
        <w:snapToGrid/>
        <w:spacing w:beforeAutospacing="0" w:line="288" w:lineRule="auto"/>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超强师资：</w:t>
      </w:r>
      <w:r>
        <w:rPr>
          <w:rFonts w:eastAsia="宋体"/>
          <w:color w:val="1F2225"/>
          <w:sz w:val="21"/>
          <w:szCs w:val="21"/>
        </w:rPr>
        <w:t>授课团队由牛津大学附属医院主任医师、牛津大学医学院教授及前沿科研团队组成，学生将与世界一流的临床专家和科研学者面对面交流，直接感受国际顶尖医学教育与科研氛围；</w:t>
      </w:r>
    </w:p>
    <w:p w14:paraId="79EEAC7E">
      <w:pPr>
        <w:pStyle w:val="20"/>
        <w:keepNext w:val="0"/>
        <w:keepLines w:val="0"/>
        <w:pageBreakBefore w:val="0"/>
        <w:numPr>
          <w:ilvl w:val="0"/>
          <w:numId w:val="1"/>
        </w:numPr>
        <w:kinsoku/>
        <w:wordWrap/>
        <w:overflowPunct/>
        <w:topLinePunct w:val="0"/>
        <w:bidi w:val="0"/>
        <w:snapToGrid/>
        <w:spacing w:before="0" w:after="0" w:line="288" w:lineRule="auto"/>
        <w:contextualSpacing w:val="0"/>
        <w:jc w:val="both"/>
        <w:textAlignment w:val="auto"/>
        <w:rPr>
          <w:rFonts w:ascii="宋体" w:hAnsi="宋体" w:eastAsia="宋体"/>
          <w:color w:val="000000" w:themeColor="text1"/>
          <w:sz w:val="21"/>
          <w:szCs w:val="21"/>
          <w:lang w:eastAsia="zh-CN"/>
          <w14:textFill>
            <w14:solidFill>
              <w14:schemeClr w14:val="tx1"/>
            </w14:solidFill>
          </w14:textFill>
        </w:rPr>
      </w:pPr>
      <w:r>
        <w:rPr>
          <w:rFonts w:hint="eastAsia" w:ascii="宋体" w:hAnsi="宋体" w:eastAsia="宋体"/>
          <w:b/>
          <w:bCs/>
          <w:color w:val="000000" w:themeColor="text1"/>
          <w:sz w:val="21"/>
          <w:szCs w:val="21"/>
          <w:lang w:eastAsia="zh-CN"/>
          <w14:textFill>
            <w14:solidFill>
              <w14:schemeClr w14:val="tx1"/>
            </w14:solidFill>
          </w14:textFill>
        </w:rPr>
        <w:t>资源稀缺：</w:t>
      </w:r>
      <w:r>
        <w:rPr>
          <w:rFonts w:hint="eastAsia" w:ascii="宋体" w:hAnsi="宋体" w:eastAsia="宋体"/>
          <w:color w:val="000000" w:themeColor="text1"/>
          <w:sz w:val="21"/>
          <w:szCs w:val="21"/>
          <w:lang w:eastAsia="zh-CN"/>
          <w14:textFill>
            <w14:solidFill>
              <w14:schemeClr w14:val="tx1"/>
            </w14:solidFill>
          </w14:textFill>
        </w:rPr>
        <w:t>牛津大学医学院、医药研究领域专家极少做项目，此次组成专家团队传授临床前沿知识和技能，以及医疗体系的参访机会（医院或者生物医学科研中心），实属稀缺资源；</w:t>
      </w:r>
    </w:p>
    <w:p w14:paraId="545C4CAB">
      <w:pPr>
        <w:pStyle w:val="25"/>
        <w:keepNext w:val="0"/>
        <w:keepLines w:val="0"/>
        <w:pageBreakBefore w:val="0"/>
        <w:numPr>
          <w:ilvl w:val="0"/>
          <w:numId w:val="1"/>
        </w:numPr>
        <w:kinsoku/>
        <w:wordWrap/>
        <w:overflowPunct/>
        <w:topLinePunct w:val="0"/>
        <w:bidi w:val="0"/>
        <w:snapToGrid/>
        <w:spacing w:afterAutospacing="0" w:line="288" w:lineRule="auto"/>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临床突出：</w:t>
      </w:r>
      <w:r>
        <w:rPr>
          <w:rFonts w:eastAsia="宋体"/>
          <w:color w:val="1F2225"/>
          <w:sz w:val="21"/>
          <w:szCs w:val="21"/>
        </w:rPr>
        <w:t>课程内容涵盖</w:t>
      </w:r>
      <w:r>
        <w:rPr>
          <w:rFonts w:hint="eastAsia" w:eastAsia="宋体"/>
          <w:color w:val="1F2225"/>
          <w:sz w:val="21"/>
          <w:szCs w:val="21"/>
        </w:rPr>
        <w:t>大量临床相关内容、实践操作，包括最常见和最重要的临床疾病的前沿知识以及实践操作技能；</w:t>
      </w:r>
    </w:p>
    <w:p w14:paraId="41B85B6C">
      <w:pPr>
        <w:pStyle w:val="20"/>
        <w:keepNext w:val="0"/>
        <w:keepLines w:val="0"/>
        <w:pageBreakBefore w:val="0"/>
        <w:numPr>
          <w:ilvl w:val="0"/>
          <w:numId w:val="1"/>
        </w:numPr>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hint="eastAsia" w:eastAsia="宋体"/>
          <w:b/>
          <w:bCs/>
          <w:color w:val="000000" w:themeColor="text1"/>
          <w:sz w:val="21"/>
          <w:szCs w:val="21"/>
          <w:lang w:eastAsia="zh-CN"/>
          <w14:textFill>
            <w14:solidFill>
              <w14:schemeClr w14:val="tx1"/>
            </w14:solidFill>
          </w14:textFill>
        </w:rPr>
        <w:t>超高性价比：</w:t>
      </w:r>
      <w:r>
        <w:rPr>
          <w:rFonts w:ascii="宋体" w:hAnsi="宋体" w:eastAsia="宋体"/>
          <w:color w:val="1F2225"/>
          <w:sz w:val="21"/>
          <w:szCs w:val="21"/>
          <w:lang w:eastAsia="zh-CN"/>
        </w:rPr>
        <w:t>项目邀请临床经验丰富的医生和学者授课，费用涵盖两周线下课程、六周线上课程、学习材料、住宿、早餐、牛津交通卡、英国电话卡、集体参访、团体航班接送机、英国签证办理（不含签证费）。海外学习期间，当地带队老师将全程协助处理学习与生活事务，确保学生在安全、舒适的环境中专注学习；</w:t>
      </w:r>
    </w:p>
    <w:p w14:paraId="7AEE6E10">
      <w:pPr>
        <w:pStyle w:val="25"/>
        <w:keepNext w:val="0"/>
        <w:keepLines w:val="0"/>
        <w:pageBreakBefore w:val="0"/>
        <w:numPr>
          <w:ilvl w:val="0"/>
          <w:numId w:val="1"/>
        </w:numPr>
        <w:kinsoku/>
        <w:wordWrap/>
        <w:overflowPunct/>
        <w:topLinePunct w:val="0"/>
        <w:bidi w:val="0"/>
        <w:snapToGrid/>
        <w:spacing w:beforeAutospacing="0" w:afterAutospacing="0" w:line="288" w:lineRule="auto"/>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带队安全：</w:t>
      </w:r>
      <w:r>
        <w:rPr>
          <w:rFonts w:hint="eastAsia" w:eastAsia="宋体"/>
          <w:color w:val="000000" w:themeColor="text1"/>
          <w:sz w:val="21"/>
          <w:szCs w:val="21"/>
          <w14:textFill>
            <w14:solidFill>
              <w14:schemeClr w14:val="tx1"/>
            </w14:solidFill>
          </w14:textFill>
        </w:rPr>
        <w:t>海外学习期间，</w:t>
      </w:r>
      <w:r>
        <w:rPr>
          <w:rFonts w:eastAsia="宋体"/>
          <w:color w:val="1F2225"/>
          <w:sz w:val="21"/>
          <w:szCs w:val="21"/>
        </w:rPr>
        <w:t>当地带队老师</w:t>
      </w:r>
      <w:r>
        <w:rPr>
          <w:rFonts w:hint="eastAsia" w:eastAsia="宋体"/>
          <w:color w:val="1F2225"/>
          <w:sz w:val="21"/>
          <w:szCs w:val="21"/>
        </w:rPr>
        <w:t>将</w:t>
      </w:r>
      <w:r>
        <w:rPr>
          <w:rFonts w:eastAsia="宋体"/>
          <w:color w:val="1F2225"/>
          <w:sz w:val="21"/>
          <w:szCs w:val="21"/>
        </w:rPr>
        <w:t>随队支持，在学习与生活上</w:t>
      </w:r>
      <w:r>
        <w:rPr>
          <w:rFonts w:hint="eastAsia" w:eastAsia="宋体"/>
          <w:color w:val="1F2225"/>
          <w:sz w:val="21"/>
          <w:szCs w:val="21"/>
        </w:rPr>
        <w:t>协助</w:t>
      </w:r>
      <w:r>
        <w:rPr>
          <w:rFonts w:eastAsia="宋体"/>
          <w:color w:val="1F2225"/>
          <w:sz w:val="21"/>
          <w:szCs w:val="21"/>
        </w:rPr>
        <w:t>，还会分享英国与中国在生活方式上的差异与趣闻，帮助学生更好地融入当地环境</w:t>
      </w:r>
      <w:r>
        <w:rPr>
          <w:rFonts w:hint="eastAsia" w:eastAsia="宋体"/>
          <w:color w:val="1F2225"/>
          <w:sz w:val="21"/>
          <w:szCs w:val="21"/>
        </w:rPr>
        <w:t>，专注学习和体验。</w:t>
      </w:r>
    </w:p>
    <w:p w14:paraId="52B23AF5">
      <w:pPr>
        <w:pStyle w:val="25"/>
        <w:keepNext w:val="0"/>
        <w:keepLines w:val="0"/>
        <w:pageBreakBefore w:val="0"/>
        <w:numPr>
          <w:numId w:val="0"/>
        </w:numPr>
        <w:kinsoku/>
        <w:wordWrap/>
        <w:overflowPunct/>
        <w:topLinePunct w:val="0"/>
        <w:bidi w:val="0"/>
        <w:snapToGrid/>
        <w:spacing w:beforeAutospacing="0" w:afterAutospacing="0" w:line="288" w:lineRule="auto"/>
        <w:ind w:leftChars="0"/>
        <w:jc w:val="both"/>
        <w:textAlignment w:val="auto"/>
        <w:rPr>
          <w:rFonts w:eastAsia="宋体"/>
          <w:color w:val="000000" w:themeColor="text1"/>
          <w:sz w:val="21"/>
          <w:szCs w:val="21"/>
          <w14:textFill>
            <w14:solidFill>
              <w14:schemeClr w14:val="tx1"/>
            </w14:solidFill>
          </w14:textFill>
        </w:rPr>
      </w:pPr>
    </w:p>
    <w:p w14:paraId="569FB14A">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sz w:val="21"/>
          <w:szCs w:val="21"/>
          <w:lang w:eastAsia="zh-CN"/>
        </w:rPr>
      </w:pPr>
      <w:r>
        <w:rPr>
          <w:rFonts w:hint="eastAsia" w:ascii="宋体" w:hAnsi="宋体" w:eastAsia="宋体" w:cs="宋体"/>
          <w:b/>
          <w:color w:val="1F2225"/>
          <w:sz w:val="21"/>
          <w:szCs w:val="21"/>
          <w:lang w:eastAsia="zh-CN"/>
        </w:rPr>
        <w:t>四、项目内容（九大模块）</w:t>
      </w:r>
    </w:p>
    <w:p w14:paraId="47615613">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hint="eastAsia" w:ascii="宋体" w:hAnsi="宋体" w:eastAsia="宋体" w:cs="宋体"/>
          <w:color w:val="1F2225"/>
          <w:sz w:val="21"/>
          <w:szCs w:val="21"/>
          <w:lang w:eastAsia="zh-CN"/>
        </w:rPr>
        <w:t>课</w:t>
      </w:r>
      <w:r>
        <w:rPr>
          <w:rFonts w:ascii="宋体" w:hAnsi="宋体" w:eastAsia="宋体"/>
          <w:color w:val="1F2225"/>
          <w:sz w:val="21"/>
          <w:szCs w:val="21"/>
          <w:lang w:eastAsia="zh-CN"/>
        </w:rPr>
        <w:t>程将世界领先的医学教育理念、最新科研成果与实践训练有机融合，帮助医学相关专业学生在短期内显著提升学术能力与临床思维，并全面拓展国际视野。主要内容如下：</w:t>
      </w:r>
    </w:p>
    <w:p w14:paraId="2FFB4CA2">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7C2FE9D8">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模块一、</w:t>
      </w:r>
      <w:r>
        <w:rPr>
          <w:rFonts w:ascii="宋体" w:hAnsi="宋体" w:eastAsia="宋体"/>
          <w:bCs/>
          <w:color w:val="1F2225"/>
          <w:sz w:val="21"/>
          <w:szCs w:val="21"/>
          <w:u w:val="single"/>
          <w:lang w:eastAsia="zh-CN"/>
        </w:rPr>
        <w:t>医学专家讲座</w:t>
      </w:r>
    </w:p>
    <w:p w14:paraId="552B0698">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lang w:eastAsia="zh-CN"/>
        </w:rPr>
        <w:t>由活跃在科研一线的牛津大学课题组专家及临床医生授课，围绕最新科研成果与临床突破，为学生带来世界领先的医学知识与临床思维。</w:t>
      </w:r>
      <w:r>
        <w:rPr>
          <w:rFonts w:ascii="宋体" w:hAnsi="宋体" w:eastAsia="宋体"/>
          <w:color w:val="1F2225"/>
          <w:sz w:val="21"/>
          <w:szCs w:val="21"/>
        </w:rPr>
        <w:t>专题包括但不限于：</w:t>
      </w:r>
    </w:p>
    <w:p w14:paraId="6EA8CA1C">
      <w:pPr>
        <w:keepNext w:val="0"/>
        <w:keepLines w:val="0"/>
        <w:pageBreakBefore w:val="0"/>
        <w:numPr>
          <w:ilvl w:val="0"/>
          <w:numId w:val="2"/>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慢性病管理：结合呼吸系统疾病、糖尿病、慢性肾病等案例，探讨在 NHS 体系下的综合管理模式；</w:t>
      </w:r>
    </w:p>
    <w:p w14:paraId="5C5E8CA8">
      <w:pPr>
        <w:keepNext w:val="0"/>
        <w:keepLines w:val="0"/>
        <w:pageBreakBefore w:val="0"/>
        <w:numPr>
          <w:ilvl w:val="0"/>
          <w:numId w:val="2"/>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代谢功能障碍相关脂肪性肝病（MASLD）：结合基础科学、临床研究与多学科管理的新模式；</w:t>
      </w:r>
    </w:p>
    <w:p w14:paraId="3246E5DE">
      <w:pPr>
        <w:keepNext w:val="0"/>
        <w:keepLines w:val="0"/>
        <w:pageBreakBefore w:val="0"/>
        <w:numPr>
          <w:ilvl w:val="0"/>
          <w:numId w:val="2"/>
        </w:numPr>
        <w:kinsoku/>
        <w:wordWrap/>
        <w:overflowPunct/>
        <w:topLinePunct w:val="0"/>
        <w:bidi w:val="0"/>
        <w:snapToGrid/>
        <w:spacing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阿尔兹海默症与痴呆：解析神经退行性疾病的预防、早期诊断与治疗新方向；</w:t>
      </w:r>
    </w:p>
    <w:p w14:paraId="64ED5182">
      <w:pPr>
        <w:keepNext w:val="0"/>
        <w:keepLines w:val="0"/>
        <w:pageBreakBefore w:val="0"/>
        <w:numPr>
          <w:ilvl w:val="0"/>
          <w:numId w:val="2"/>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肾脏替代疗法与肾移植：剖析透析、移植及个体化治疗策略的最新进展；</w:t>
      </w:r>
    </w:p>
    <w:p w14:paraId="7F5CDC96">
      <w:pPr>
        <w:keepNext w:val="0"/>
        <w:keepLines w:val="0"/>
        <w:pageBreakBefore w:val="0"/>
        <w:numPr>
          <w:ilvl w:val="0"/>
          <w:numId w:val="2"/>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肿瘤 Flash 放射治疗技术：探索微秒级超高剂量精准治疗的革命性潜力。</w:t>
      </w:r>
    </w:p>
    <w:p w14:paraId="28876A1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（课程主题为往期示例，具体以授课课题将根据实际情况做调整。）</w:t>
      </w:r>
    </w:p>
    <w:p w14:paraId="5684027C">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6DFCE684">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模块二、</w:t>
      </w:r>
      <w:r>
        <w:rPr>
          <w:rFonts w:ascii="宋体" w:hAnsi="宋体" w:eastAsia="宋体"/>
          <w:bCs/>
          <w:color w:val="1F2225"/>
          <w:sz w:val="21"/>
          <w:szCs w:val="21"/>
          <w:u w:val="single"/>
          <w:lang w:eastAsia="zh-CN"/>
        </w:rPr>
        <w:t>循证医学的临床应用与实践</w:t>
      </w:r>
    </w:p>
    <w:p w14:paraId="1A2435B7">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本模块系统覆盖临床各阶段的证据研究方法，培养学生的循证思维与临床决策能力。课程以案例分析（Case-based Learning）为主轴，结合问题引导式教学（Question-led Teaching），引导学生从真实临床情境出发，掌握从临床问题提出到临床决策制定的完整流程。</w:t>
      </w:r>
    </w:p>
    <w:p w14:paraId="7A2D6633">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学生将在导师指导下实操国际权威数据库与证据搜索引擎，学习检索技巧与偏倚识别方法，提升高效查找与甄别证据的能力。课程围绕诊断、治疗与预后三大临床环节，深入解析不同证据类型与质量，并借助可视化工具帮助学生理解统计学核心概念，将抽象数据转化为直观的临床价值。</w:t>
      </w:r>
    </w:p>
    <w:p w14:paraId="017D14EC">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3AB69FA0">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模块三、</w:t>
      </w:r>
      <w:r>
        <w:rPr>
          <w:rFonts w:ascii="宋体" w:hAnsi="宋体" w:eastAsia="宋体"/>
          <w:bCs/>
          <w:color w:val="1F2225"/>
          <w:sz w:val="21"/>
          <w:szCs w:val="21"/>
          <w:u w:val="single"/>
          <w:lang w:eastAsia="zh-CN"/>
        </w:rPr>
        <w:t>牛津医学院官方网络课程</w:t>
      </w:r>
    </w:p>
    <w:p w14:paraId="0B168296">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学生将在项目期间系统融入牛津医学院官方线上课程体系，在为期六周的学习周期内，围绕循证医学核心主题开展结构化自主学习。课程内容与线下教学形成有机衔接，涵盖专题导读材料、案例拓展模块及延伸阅读资源，帮助学生在课前建立知识框架、课中深化理解、课后完成系统整合。完成全部学习要求后，将获得官方课程学习证明。</w:t>
      </w:r>
    </w:p>
    <w:p w14:paraId="5546697B">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799C7693">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模块四、</w:t>
      </w:r>
      <w:r>
        <w:rPr>
          <w:rFonts w:ascii="宋体" w:hAnsi="宋体" w:eastAsia="宋体"/>
          <w:bCs/>
          <w:color w:val="1F2225"/>
          <w:sz w:val="21"/>
          <w:szCs w:val="21"/>
          <w:u w:val="single"/>
          <w:lang w:eastAsia="zh-CN"/>
        </w:rPr>
        <w:t>临床技能工作坊</w:t>
      </w:r>
    </w:p>
    <w:p w14:paraId="027DED8D">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患者沟通技巧训练工作坊</w:t>
      </w:r>
    </w:p>
    <w:p w14:paraId="340EEF59">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学生将与不同类型的“模拟患者”进行情景对话。课程将重点训练学生在交流中掌握对话主动权、精准捕捉关键信息，学习运用 SPIKES 模型完成“坏消息告知”，以及如何在患者沟通中展现专业性、同理心与人文关怀，提升临床沟通的深度与温度。</w:t>
      </w:r>
    </w:p>
    <w:p w14:paraId="3C00FADB">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rPr>
      </w:pPr>
      <w:r>
        <w:rPr>
          <w:rFonts w:ascii="宋体" w:hAnsi="宋体" w:eastAsia="宋体"/>
          <w:color w:val="1F2225"/>
          <w:sz w:val="21"/>
          <w:szCs w:val="21"/>
        </w:rPr>
        <w:t>临床领导力提升工作坊</w:t>
      </w:r>
    </w:p>
    <w:p w14:paraId="0CA48605">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学生将通过真实临床案例讨论与情境模拟，学习医生在多学科团队（MDT）中的角色定位与领导职责，理解在复杂医疗环境中如何进行有效决策与团队协调。课程将重点训练学生在高压情境下的沟通组织能力、冲突管理能力与风险评估意识，并引导其运用结构化决策框架进行问题分析与资源整合，以提升临床实践中的系统思维能力与责任担当意识。</w:t>
      </w:r>
    </w:p>
    <w:p w14:paraId="6F2C635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1EB614DB">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模块五、</w:t>
      </w:r>
      <w:r>
        <w:rPr>
          <w:rFonts w:ascii="宋体" w:hAnsi="宋体" w:eastAsia="宋体"/>
          <w:bCs/>
          <w:color w:val="1F2225"/>
          <w:sz w:val="21"/>
          <w:szCs w:val="21"/>
          <w:u w:val="single"/>
          <w:lang w:eastAsia="zh-CN"/>
        </w:rPr>
        <w:t>学术成长工作坊</w:t>
      </w:r>
    </w:p>
    <w:p w14:paraId="4A4AE163">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学术阅读·写作·演讲训练工作坊</w:t>
      </w:r>
    </w:p>
    <w:p w14:paraId="35B565E9">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学生将系统学习学术文献阅读方法与写作规范，通过互动游戏与情景活动掌握面对公众演讲的技巧。课程重点强调如何清晰、有效地表达复杂的学术概念，并培养学生的学术表达自信与逻辑思维能力。学生不仅能提升英文学术写作的准确性和结构性，还将学会在学术汇报中吸引并保持听众注意力，为未来的学术研究与国际交流奠定坚实基础。</w:t>
      </w:r>
    </w:p>
    <w:p w14:paraId="0B137869">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研究生申请·模拟面试工作坊</w:t>
      </w:r>
    </w:p>
    <w:p w14:paraId="04FF02AE">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导师将会向学生介绍申请英国研究生、奖学金（针对中国学生）的相关要求和流程、时间规划及注意事项，并深入剖析面试官的关注重点。通过模拟面试环节，学生将锻炼如何精准展示自身优势与学术潜力，在真实情境中积累经验与自信。</w:t>
      </w:r>
    </w:p>
    <w:p w14:paraId="0AD0B0DE">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461678F8">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模块六、</w:t>
      </w:r>
      <w:r>
        <w:rPr>
          <w:rFonts w:ascii="宋体" w:hAnsi="宋体" w:eastAsia="宋体"/>
          <w:bCs/>
          <w:color w:val="1F2225"/>
          <w:sz w:val="21"/>
          <w:szCs w:val="21"/>
          <w:u w:val="single"/>
          <w:lang w:eastAsia="zh-CN"/>
        </w:rPr>
        <w:t>医学主题辩论赛</w:t>
      </w:r>
    </w:p>
    <w:p w14:paraId="672B9EEE">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导师将组织学生围绕热门医学议题、医学伦理与技术革新展开高水平辩论赛，不仅锻炼学生的证据检索实践、批判性思维、逻辑推理能力与英文口语表达，还帮助他们在多元观点的碰撞中加深对医学伦理与社会责任的理解。</w:t>
      </w:r>
    </w:p>
    <w:p w14:paraId="0589FB0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0F7CEC54">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模块七、</w:t>
      </w:r>
      <w:r>
        <w:rPr>
          <w:rFonts w:ascii="宋体" w:hAnsi="宋体" w:eastAsia="宋体"/>
          <w:bCs/>
          <w:color w:val="1F2225"/>
          <w:sz w:val="21"/>
          <w:szCs w:val="21"/>
          <w:u w:val="single"/>
          <w:lang w:eastAsia="zh-CN"/>
        </w:rPr>
        <w:t>医疗科研机构参访</w:t>
      </w:r>
    </w:p>
    <w:p w14:paraId="4682FA27">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学生将有机会参访 NHS体系医疗机构（医院、临床中心等）、生物医学实验室或科研创新企（具体参访地点将视项目期间的开放情况安排），直观了解英国医疗与科研领域的运作模式与前沿技术，感受全球领先的医疗体系与科研环境。</w:t>
      </w:r>
    </w:p>
    <w:p w14:paraId="7D57519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29C38761">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rPr>
      </w:pPr>
      <w:r>
        <w:rPr>
          <w:rFonts w:hint="eastAsia" w:ascii="宋体" w:hAnsi="宋体" w:eastAsia="宋体"/>
          <w:bCs/>
          <w:color w:val="1F2225"/>
          <w:sz w:val="21"/>
          <w:szCs w:val="21"/>
          <w:u w:val="single"/>
          <w:lang w:eastAsia="zh-CN"/>
        </w:rPr>
        <w:t>模块八、</w:t>
      </w:r>
      <w:r>
        <w:rPr>
          <w:rFonts w:ascii="宋体" w:hAnsi="宋体" w:eastAsia="宋体"/>
          <w:bCs/>
          <w:color w:val="1F2225"/>
          <w:sz w:val="21"/>
          <w:szCs w:val="21"/>
          <w:u w:val="single"/>
        </w:rPr>
        <w:t>G5名校参访</w:t>
      </w:r>
    </w:p>
    <w:p w14:paraId="4D2D6C94">
      <w:pPr>
        <w:keepNext w:val="0"/>
        <w:keepLines w:val="0"/>
        <w:pageBreakBefore w:val="0"/>
        <w:kinsoku/>
        <w:wordWrap/>
        <w:overflowPunct/>
        <w:topLinePunct w:val="0"/>
        <w:bidi w:val="0"/>
        <w:snapToGrid/>
        <w:spacing w:after="0" w:afterAutospacing="0" w:line="288" w:lineRule="auto"/>
        <w:textAlignment w:val="auto"/>
        <w:rPr>
          <w:rFonts w:ascii="宋体" w:hAnsi="宋体" w:eastAsia="宋体"/>
          <w:sz w:val="21"/>
          <w:szCs w:val="21"/>
        </w:rPr>
      </w:pPr>
      <w:r>
        <w:rPr>
          <w:rFonts w:ascii="宋体" w:hAnsi="宋体" w:eastAsia="宋体"/>
          <w:color w:val="1F2225"/>
          <w:sz w:val="21"/>
          <w:szCs w:val="21"/>
        </w:rPr>
        <w:t>学生将走进帝国理工学院（Imperial College London）或伦敦大学学院（University College London）等世界顶尖学府，</w:t>
      </w:r>
      <w:r>
        <w:rPr>
          <w:rFonts w:ascii="宋体" w:hAnsi="宋体" w:eastAsia="宋体"/>
          <w:b/>
          <w:bCs/>
          <w:color w:val="1F2225"/>
          <w:sz w:val="21"/>
          <w:szCs w:val="21"/>
        </w:rPr>
        <w:t>由在校生或校友亲自带领参观校园</w:t>
      </w:r>
      <w:r>
        <w:rPr>
          <w:rFonts w:ascii="宋体" w:hAnsi="宋体" w:eastAsia="宋体"/>
          <w:color w:val="1F2225"/>
          <w:sz w:val="21"/>
          <w:szCs w:val="21"/>
        </w:rPr>
        <w:t>、介绍学术资源与学习生活。学生不仅能深入了解英国高等教育体系与科研优势，还将与名校学子面对面交流，获得关于国际申请、学术规划及职业发展的宝贵第一手信息。</w:t>
      </w:r>
    </w:p>
    <w:p w14:paraId="62AB4986">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hint="eastAsia" w:ascii="宋体" w:hAnsi="宋体" w:eastAsia="宋体"/>
          <w:color w:val="1F2225"/>
          <w:sz w:val="21"/>
          <w:szCs w:val="21"/>
          <w:lang w:eastAsia="zh-CN"/>
        </w:rPr>
        <w:t>*</w:t>
      </w:r>
      <w:r>
        <w:rPr>
          <w:rFonts w:ascii="宋体" w:hAnsi="宋体" w:eastAsia="宋体"/>
          <w:color w:val="1F2225"/>
          <w:sz w:val="21"/>
          <w:szCs w:val="21"/>
          <w:lang w:eastAsia="zh-CN"/>
        </w:rPr>
        <w:t>具体参访院校海外可根据学校实际安排做调整</w:t>
      </w:r>
    </w:p>
    <w:p w14:paraId="22EFCC67">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603078C3">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u w:val="single"/>
          <w:lang w:eastAsia="zh-CN"/>
        </w:rPr>
      </w:pPr>
      <w:r>
        <w:rPr>
          <w:rFonts w:hint="eastAsia" w:ascii="宋体" w:hAnsi="宋体" w:eastAsia="宋体"/>
          <w:bCs/>
          <w:color w:val="1F2225"/>
          <w:sz w:val="21"/>
          <w:szCs w:val="21"/>
          <w:u w:val="single"/>
          <w:lang w:eastAsia="zh-CN"/>
        </w:rPr>
        <w:t>模块九、</w:t>
      </w:r>
      <w:r>
        <w:rPr>
          <w:rFonts w:ascii="宋体" w:hAnsi="宋体" w:eastAsia="宋体"/>
          <w:bCs/>
          <w:color w:val="1F2225"/>
          <w:sz w:val="21"/>
          <w:szCs w:val="21"/>
          <w:u w:val="single"/>
          <w:lang w:eastAsia="zh-CN"/>
        </w:rPr>
        <w:t>沉浸式英伦人文探索</w:t>
      </w:r>
    </w:p>
    <w:p w14:paraId="3E95BDF0">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lang w:eastAsia="zh-CN"/>
        </w:rPr>
      </w:pPr>
      <w:r>
        <w:rPr>
          <w:rFonts w:ascii="宋体" w:hAnsi="宋体" w:eastAsia="宋体"/>
          <w:color w:val="1F2225"/>
          <w:sz w:val="21"/>
          <w:szCs w:val="21"/>
          <w:lang w:eastAsia="zh-CN"/>
        </w:rPr>
        <w:t>英国文化与礼仪体验课</w:t>
      </w:r>
    </w:p>
    <w:p w14:paraId="11A465A6">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内容涵盖英国社会的文化背景、餐桌与社交礼仪，以及生活习惯与交流方式。通过生动的案例与互动环节，学生不仅能更好地适应英国的学习与生活环境，也能在后续的人文探索与学术交流中展现得更加自信与得体。</w:t>
      </w:r>
    </w:p>
    <w:p w14:paraId="6ADC5364">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rPr>
      </w:pPr>
      <w:r>
        <w:rPr>
          <w:rFonts w:ascii="宋体" w:hAnsi="宋体" w:eastAsia="宋体"/>
          <w:color w:val="1F2225"/>
          <w:sz w:val="21"/>
          <w:szCs w:val="21"/>
        </w:rPr>
        <w:t>牛津大学深度体验</w:t>
      </w:r>
    </w:p>
    <w:p w14:paraId="2178051D">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在牛津当地资深导游带领下，学生将探索牛津这座享誉世界的学术名城，走进历史悠久、风格各异的学院，感受独特的学院制氛围与浓厚的学术传统。参访行程还将涵盖多处《哈利·波特》取景地，以及叹息桥、卡法克斯塔等地标，让学生在漫步古老街道的同时，领略牛津在英国历史与文化中的重要地位。</w:t>
      </w:r>
    </w:p>
    <w:p w14:paraId="1468DEAA">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rPr>
      </w:pPr>
      <w:r>
        <w:rPr>
          <w:rFonts w:ascii="宋体" w:hAnsi="宋体" w:eastAsia="宋体"/>
          <w:color w:val="1F2225"/>
          <w:sz w:val="21"/>
          <w:szCs w:val="21"/>
        </w:rPr>
        <w:t>伦敦城市探索</w:t>
      </w:r>
    </w:p>
    <w:p w14:paraId="1632CAEB">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在这座融合千年历史与当代创新的城市中，学生可以漫步于威斯特敏斯特一带，远眺大本钟与泰晤士河畔的城市天际线；也可以走进大英博物馆或国家美术馆，在世界文明与艺术经典之间展开一场跨越时空的对话。这段城市探索不仅是一次观光之旅，更是一次理解全球化都市结构与多元文化共存方式的实践体验。在历史与现代交织的空间中，学生将以自己的节奏发现伦敦，感受这座城市在政治、艺术、学术与创意产业中的独特影响力。</w:t>
      </w:r>
    </w:p>
    <w:p w14:paraId="359F64D3">
      <w:pPr>
        <w:keepNext w:val="0"/>
        <w:keepLines w:val="0"/>
        <w:pageBreakBefore w:val="0"/>
        <w:numPr>
          <w:ilvl w:val="0"/>
          <w:numId w:val="3"/>
        </w:numPr>
        <w:kinsoku/>
        <w:wordWrap/>
        <w:overflowPunct/>
        <w:topLinePunct w:val="0"/>
        <w:bidi w:val="0"/>
        <w:snapToGrid/>
        <w:spacing w:before="0" w:beforeAutospacing="0" w:after="0" w:afterAutospacing="0" w:line="288" w:lineRule="auto"/>
        <w:ind w:left="284" w:hanging="284"/>
        <w:textAlignment w:val="auto"/>
        <w:rPr>
          <w:rFonts w:ascii="宋体" w:hAnsi="宋体" w:eastAsia="宋体"/>
          <w:sz w:val="21"/>
          <w:szCs w:val="21"/>
        </w:rPr>
      </w:pPr>
      <w:r>
        <w:rPr>
          <w:rFonts w:ascii="宋体" w:hAnsi="宋体" w:eastAsia="宋体"/>
          <w:color w:val="1F2225"/>
          <w:sz w:val="21"/>
          <w:szCs w:val="21"/>
        </w:rPr>
        <w:t>莎士比亚故乡文化之旅</w:t>
      </w:r>
    </w:p>
    <w:p w14:paraId="3EEBC91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学生将前往英国文学巨匠莎士比亚的故乡，参观莎士比亚故居，近距离感受这位文学大师的生活足迹与创作灵感来源。在沉浸式的导览中，学生将理解莎士比亚作品的艺术魅力与文化意义，并体验英式小镇悠久的历史、优美的风光与莎士比亚皇家戏剧院浓厚的戏剧氛围。</w:t>
      </w:r>
    </w:p>
    <w:p w14:paraId="2239D882">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768F7543">
      <w:pPr>
        <w:pStyle w:val="15"/>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bCs/>
          <w:color w:val="1F2225"/>
          <w:sz w:val="21"/>
          <w:szCs w:val="21"/>
          <w:lang w:eastAsia="zh-CN"/>
        </w:rPr>
        <w:t>正式结业晚宴：</w:t>
      </w:r>
    </w:p>
    <w:p w14:paraId="734E8A5C">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r>
        <w:rPr>
          <w:rFonts w:hint="eastAsia" w:ascii="宋体" w:hAnsi="宋体" w:eastAsia="宋体" w:cs="宋体"/>
          <w:color w:val="1F2225"/>
          <w:sz w:val="21"/>
          <w:szCs w:val="21"/>
          <w:lang w:eastAsia="zh-CN"/>
        </w:rPr>
        <w:t>学生将着正装参加牛津大学标志性的传统活动</w:t>
      </w:r>
      <w:r>
        <w:rPr>
          <w:rFonts w:ascii="宋体" w:hAnsi="宋体" w:eastAsia="宋体"/>
          <w:color w:val="1F2225"/>
          <w:sz w:val="21"/>
          <w:szCs w:val="21"/>
          <w:lang w:eastAsia="zh-CN"/>
        </w:rPr>
        <w:t>——Formal Dinner</w:t>
      </w:r>
      <w:r>
        <w:rPr>
          <w:rFonts w:hint="eastAsia" w:ascii="宋体" w:hAnsi="宋体" w:eastAsia="宋体" w:cs="宋体"/>
          <w:color w:val="1F2225"/>
          <w:sz w:val="21"/>
          <w:szCs w:val="21"/>
          <w:lang w:eastAsia="zh-CN"/>
        </w:rPr>
        <w:t>。在烛光与长桌间感受数百年学术传统所沉淀的仪式感与归属感。</w:t>
      </w:r>
      <w:r>
        <w:rPr>
          <w:rFonts w:ascii="宋体" w:hAnsi="宋体" w:eastAsia="宋体"/>
          <w:color w:val="1F2225"/>
          <w:sz w:val="21"/>
          <w:szCs w:val="21"/>
          <w:lang w:eastAsia="zh-CN"/>
        </w:rPr>
        <w:t xml:space="preserve">Formal Dinner </w:t>
      </w:r>
      <w:r>
        <w:rPr>
          <w:rFonts w:hint="eastAsia" w:ascii="宋体" w:hAnsi="宋体" w:eastAsia="宋体" w:cs="宋体"/>
          <w:color w:val="1F2225"/>
          <w:sz w:val="21"/>
          <w:szCs w:val="21"/>
          <w:lang w:eastAsia="zh-CN"/>
        </w:rPr>
        <w:t>是牛津学院制文化的重要组成部分，融合学术精神、历史传承与英式礼仪，是每一位牛津学生难忘的校园体验。</w:t>
      </w:r>
    </w:p>
    <w:p w14:paraId="02A247E9">
      <w:pPr>
        <w:keepNext w:val="0"/>
        <w:keepLines w:val="0"/>
        <w:pageBreakBefore w:val="0"/>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1F2225"/>
          <w:sz w:val="21"/>
          <w:szCs w:val="21"/>
          <w:lang w:eastAsia="zh-CN"/>
        </w:rPr>
      </w:pPr>
    </w:p>
    <w:p w14:paraId="1C9437D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b/>
          <w:sz w:val="21"/>
          <w:szCs w:val="21"/>
          <w:lang w:eastAsia="zh-CN"/>
        </w:rPr>
      </w:pPr>
      <w:r>
        <w:rPr>
          <w:rFonts w:hint="eastAsia" w:ascii="宋体" w:hAnsi="宋体" w:eastAsia="宋体" w:cs="宋体"/>
          <w:b/>
          <w:color w:val="1F2225"/>
          <w:sz w:val="21"/>
          <w:szCs w:val="21"/>
          <w:lang w:val="en-US" w:eastAsia="zh-CN"/>
        </w:rPr>
        <w:t>五</w:t>
      </w:r>
      <w:r>
        <w:rPr>
          <w:rFonts w:hint="eastAsia" w:ascii="宋体" w:hAnsi="宋体" w:eastAsia="宋体" w:cs="宋体"/>
          <w:b/>
          <w:color w:val="1F2225"/>
          <w:sz w:val="21"/>
          <w:szCs w:val="21"/>
          <w:lang w:eastAsia="zh-CN"/>
        </w:rPr>
        <w:t>、部分师资简介</w:t>
      </w:r>
    </w:p>
    <w:p w14:paraId="7D2E0AD0">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b/>
          <w:bCs/>
          <w:color w:val="1F2225"/>
          <w:sz w:val="21"/>
          <w:szCs w:val="21"/>
          <w:lang w:eastAsia="zh-CN"/>
        </w:rPr>
        <w:t>Professor Carl Heneghan</w:t>
      </w:r>
    </w:p>
    <w:p w14:paraId="6A61CF1C">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牛津大学循证医学中心主任、教授</w:t>
      </w:r>
    </w:p>
    <w:p w14:paraId="4553679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临床流行病学家，具有循证医学、研究方法和证据综合的专业知识</w:t>
      </w:r>
    </w:p>
    <w:p w14:paraId="2BBB21AB">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NHS紧急护理全科医生和NIHR高级研究员</w:t>
      </w:r>
    </w:p>
    <w:p w14:paraId="45076DF8">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他有400多篇同行评议的文章（目前H指数为79）；发表了95篇系统综述</w:t>
      </w:r>
    </w:p>
    <w:p w14:paraId="49129C8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他是两个英国全议会党组关于手术网和激素妊娠试验的临床顾问</w:t>
      </w:r>
    </w:p>
    <w:p w14:paraId="6A0CEF24">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世界卫生组织临床试验注册平台的顾问和AllTrials运动的创始人</w:t>
      </w:r>
    </w:p>
    <w:p w14:paraId="0D3F2614">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2019年获得牛津大学医学科学部颁发的终身成就奖，以表彰他对教育和教学的持续承诺</w:t>
      </w:r>
    </w:p>
    <w:p w14:paraId="4AA4734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曾两次被评选为前100名NHS临床领导人之一</w:t>
      </w:r>
    </w:p>
    <w:p w14:paraId="21E661FA">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b/>
          <w:bCs/>
          <w:color w:val="1F2225"/>
          <w:sz w:val="21"/>
          <w:szCs w:val="21"/>
        </w:rPr>
        <w:t>Professor Richard Stevens</w:t>
      </w:r>
    </w:p>
    <w:p w14:paraId="1E4973BD">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牛津大学医学统计系副主任</w:t>
      </w:r>
    </w:p>
    <w:p w14:paraId="02E9CAD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牛津大学研究生医学统计课程主任</w:t>
      </w:r>
    </w:p>
    <w:p w14:paraId="5E166D65">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牛津大学医学统计系教授</w:t>
      </w:r>
    </w:p>
    <w:p w14:paraId="1D6FA1C0">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b/>
          <w:bCs/>
          <w:color w:val="1F2225"/>
          <w:sz w:val="21"/>
          <w:szCs w:val="21"/>
        </w:rPr>
        <w:t>Professor Jeremy Tomlinson</w:t>
      </w:r>
    </w:p>
    <w:p w14:paraId="5E9CF600">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牛津大学代谢内分泌学教授</w:t>
      </w:r>
    </w:p>
    <w:p w14:paraId="46964121">
      <w:pPr>
        <w:keepNext w:val="0"/>
        <w:keepLines w:val="0"/>
        <w:pageBreakBefore w:val="0"/>
        <w:kinsoku/>
        <w:wordWrap/>
        <w:overflowPunct/>
        <w:topLinePunct w:val="0"/>
        <w:bidi w:val="0"/>
        <w:snapToGrid/>
        <w:spacing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牛津大学附属医院丘吉尔医院糖尿病、内分泌学和代谢中心的内分泌学顾问</w:t>
      </w:r>
    </w:p>
    <w:p w14:paraId="0D4D74B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b/>
          <w:bCs/>
          <w:color w:val="1F2225"/>
          <w:sz w:val="21"/>
          <w:szCs w:val="21"/>
        </w:rPr>
        <w:t>Professor Matthew Bottomley</w:t>
      </w:r>
    </w:p>
    <w:p w14:paraId="6F846A1F">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牛津大学医学部泌尿科教授 &amp; 临床研究主管</w:t>
      </w:r>
    </w:p>
    <w:p w14:paraId="45E823F1">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color w:val="1F2225"/>
          <w:sz w:val="21"/>
          <w:szCs w:val="21"/>
        </w:rPr>
        <w:t>牛津大学附属医院丘吉尔医院肾脏及移植部门高级顾问</w:t>
      </w:r>
    </w:p>
    <w:p w14:paraId="75B7B7FA">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rPr>
      </w:pPr>
      <w:r>
        <w:rPr>
          <w:rFonts w:ascii="宋体" w:hAnsi="宋体" w:eastAsia="宋体"/>
          <w:b/>
          <w:bCs/>
          <w:color w:val="1F2225"/>
          <w:sz w:val="21"/>
          <w:szCs w:val="21"/>
        </w:rPr>
        <w:t>Dr Kristoffer Peterson</w:t>
      </w:r>
    </w:p>
    <w:p w14:paraId="2419F373">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sz w:val="21"/>
          <w:szCs w:val="21"/>
          <w:lang w:eastAsia="zh-CN"/>
        </w:rPr>
      </w:pPr>
      <w:r>
        <w:rPr>
          <w:rFonts w:ascii="宋体" w:hAnsi="宋体" w:eastAsia="宋体"/>
          <w:color w:val="1F2225"/>
          <w:sz w:val="21"/>
          <w:szCs w:val="21"/>
          <w:lang w:eastAsia="zh-CN"/>
        </w:rPr>
        <w:t>牛津大学肿瘤系FLASH放射技术组主任</w:t>
      </w:r>
    </w:p>
    <w:p w14:paraId="129D3F66">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r>
        <w:rPr>
          <w:rFonts w:ascii="宋体" w:hAnsi="宋体" w:eastAsia="宋体"/>
          <w:color w:val="1F2225"/>
          <w:sz w:val="21"/>
          <w:szCs w:val="21"/>
          <w:lang w:eastAsia="zh-CN"/>
        </w:rPr>
        <w:t>（海外可根据实际情况调整师资）</w:t>
      </w:r>
    </w:p>
    <w:p w14:paraId="27939454">
      <w:pPr>
        <w:keepNext w:val="0"/>
        <w:keepLines w:val="0"/>
        <w:pageBreakBefore w:val="0"/>
        <w:kinsoku/>
        <w:wordWrap/>
        <w:overflowPunct/>
        <w:topLinePunct w:val="0"/>
        <w:bidi w:val="0"/>
        <w:snapToGrid/>
        <w:spacing w:before="0" w:beforeAutospacing="0" w:after="0" w:afterAutospacing="0" w:line="288" w:lineRule="auto"/>
        <w:textAlignment w:val="auto"/>
        <w:rPr>
          <w:rFonts w:ascii="宋体" w:hAnsi="宋体" w:eastAsia="宋体"/>
          <w:color w:val="1F2225"/>
          <w:sz w:val="21"/>
          <w:szCs w:val="21"/>
          <w:lang w:eastAsia="zh-CN"/>
        </w:rPr>
      </w:pPr>
    </w:p>
    <w:p w14:paraId="5A59163C">
      <w:pPr>
        <w:pStyle w:val="25"/>
        <w:keepNext w:val="0"/>
        <w:keepLines w:val="0"/>
        <w:pageBreakBefore w:val="0"/>
        <w:kinsoku/>
        <w:wordWrap/>
        <w:overflowPunct/>
        <w:topLinePunct w:val="0"/>
        <w:bidi w:val="0"/>
        <w:snapToGrid/>
        <w:spacing w:beforeAutospacing="0" w:line="288" w:lineRule="auto"/>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lang w:val="en-US" w:eastAsia="zh-CN"/>
          <w14:textFill>
            <w14:solidFill>
              <w14:schemeClr w14:val="tx1"/>
            </w14:solidFill>
          </w14:textFill>
        </w:rPr>
        <w:t>六</w:t>
      </w:r>
      <w:r>
        <w:rPr>
          <w:rFonts w:hint="eastAsia" w:eastAsia="宋体"/>
          <w:b/>
          <w:bCs/>
          <w:color w:val="000000" w:themeColor="text1"/>
          <w:sz w:val="21"/>
          <w:szCs w:val="21"/>
          <w14:textFill>
            <w14:solidFill>
              <w14:schemeClr w14:val="tx1"/>
            </w14:solidFill>
          </w14:textFill>
        </w:rPr>
        <w:t>、其他内容</w:t>
      </w:r>
    </w:p>
    <w:p w14:paraId="26B6E778">
      <w:pPr>
        <w:pStyle w:val="25"/>
        <w:keepNext w:val="0"/>
        <w:keepLines w:val="0"/>
        <w:pageBreakBefore w:val="0"/>
        <w:kinsoku/>
        <w:wordWrap/>
        <w:overflowPunct/>
        <w:topLinePunct w:val="0"/>
        <w:bidi w:val="0"/>
        <w:snapToGrid/>
        <w:spacing w:line="288" w:lineRule="auto"/>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项目时间：</w:t>
      </w:r>
      <w:r>
        <w:rPr>
          <w:rFonts w:eastAsia="宋体"/>
          <w:bCs/>
          <w:color w:val="000000" w:themeColor="text1"/>
          <w:sz w:val="21"/>
          <w:szCs w:val="21"/>
          <w14:textFill>
            <w14:solidFill>
              <w14:schemeClr w14:val="tx1"/>
            </w14:solidFill>
          </w14:textFill>
        </w:rPr>
        <w:t>7</w:t>
      </w:r>
      <w:r>
        <w:rPr>
          <w:rFonts w:hint="eastAsia" w:eastAsia="宋体"/>
          <w:color w:val="000000" w:themeColor="text1"/>
          <w:sz w:val="21"/>
          <w:szCs w:val="21"/>
          <w14:textFill>
            <w14:solidFill>
              <w14:schemeClr w14:val="tx1"/>
            </w14:solidFill>
          </w14:textFill>
        </w:rPr>
        <w:t>月</w:t>
      </w:r>
      <w:r>
        <w:rPr>
          <w:rFonts w:eastAsia="宋体"/>
          <w:color w:val="000000" w:themeColor="text1"/>
          <w:sz w:val="21"/>
          <w:szCs w:val="21"/>
          <w14:textFill>
            <w14:solidFill>
              <w14:schemeClr w14:val="tx1"/>
            </w14:solidFill>
          </w14:textFill>
        </w:rPr>
        <w:t>20日-7</w:t>
      </w:r>
      <w:r>
        <w:rPr>
          <w:rFonts w:hint="eastAsia" w:eastAsia="宋体"/>
          <w:color w:val="000000" w:themeColor="text1"/>
          <w:sz w:val="21"/>
          <w:szCs w:val="21"/>
          <w14:textFill>
            <w14:solidFill>
              <w14:schemeClr w14:val="tx1"/>
            </w14:solidFill>
          </w14:textFill>
        </w:rPr>
        <w:t>月</w:t>
      </w:r>
      <w:r>
        <w:rPr>
          <w:rFonts w:eastAsia="宋体"/>
          <w:color w:val="000000" w:themeColor="text1"/>
          <w:sz w:val="21"/>
          <w:szCs w:val="21"/>
          <w14:textFill>
            <w14:solidFill>
              <w14:schemeClr w14:val="tx1"/>
            </w14:solidFill>
          </w14:textFill>
        </w:rPr>
        <w:t>31日</w:t>
      </w:r>
      <w:r>
        <w:rPr>
          <w:rFonts w:hint="eastAsia" w:eastAsia="宋体"/>
          <w:color w:val="000000" w:themeColor="text1"/>
          <w:sz w:val="21"/>
          <w:szCs w:val="21"/>
          <w14:textFill>
            <w14:solidFill>
              <w14:schemeClr w14:val="tx1"/>
            </w14:solidFill>
          </w14:textFill>
        </w:rPr>
        <w:t>（2周，不含往返）</w:t>
      </w:r>
      <w:r>
        <w:rPr>
          <w:rFonts w:hint="eastAsia" w:eastAsia="宋体"/>
          <w:color w:val="000000" w:themeColor="text1"/>
          <w:sz w:val="21"/>
          <w:szCs w:val="21"/>
          <w14:textFill>
            <w14:solidFill>
              <w14:schemeClr w14:val="tx1"/>
            </w14:solidFill>
          </w14:textFill>
        </w:rPr>
        <w:br w:type="textWrapping"/>
      </w:r>
      <w:r>
        <w:rPr>
          <w:rFonts w:hint="eastAsia" w:eastAsia="宋体"/>
          <w:b/>
          <w:bCs/>
          <w:color w:val="000000" w:themeColor="text1"/>
          <w:sz w:val="21"/>
          <w:szCs w:val="21"/>
          <w14:textFill>
            <w14:solidFill>
              <w14:schemeClr w14:val="tx1"/>
            </w14:solidFill>
          </w14:textFill>
        </w:rPr>
        <w:t>成团人数：</w:t>
      </w:r>
      <w:r>
        <w:rPr>
          <w:rFonts w:eastAsia="宋体"/>
          <w:color w:val="000000" w:themeColor="text1"/>
          <w:sz w:val="21"/>
          <w:szCs w:val="21"/>
          <w14:textFill>
            <w14:solidFill>
              <w14:schemeClr w14:val="tx1"/>
            </w14:solidFill>
          </w14:textFill>
        </w:rPr>
        <w:t>30</w:t>
      </w:r>
      <w:r>
        <w:rPr>
          <w:rFonts w:hint="eastAsia" w:eastAsia="宋体"/>
          <w:color w:val="000000" w:themeColor="text1"/>
          <w:sz w:val="21"/>
          <w:szCs w:val="21"/>
          <w14:textFill>
            <w14:solidFill>
              <w14:schemeClr w14:val="tx1"/>
            </w14:solidFill>
          </w14:textFill>
        </w:rPr>
        <w:t>人以上成团(名额有限，尽早申请获得录取优势)</w:t>
      </w:r>
    </w:p>
    <w:p w14:paraId="51DAC11B">
      <w:pPr>
        <w:pStyle w:val="25"/>
        <w:keepNext w:val="0"/>
        <w:keepLines w:val="0"/>
        <w:pageBreakBefore w:val="0"/>
        <w:kinsoku/>
        <w:wordWrap/>
        <w:overflowPunct/>
        <w:topLinePunct w:val="0"/>
        <w:bidi w:val="0"/>
        <w:snapToGrid/>
        <w:spacing w:line="288" w:lineRule="auto"/>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项目收获：</w:t>
      </w:r>
      <w:r>
        <w:rPr>
          <w:rFonts w:hint="eastAsia" w:eastAsia="宋体"/>
          <w:color w:val="000000" w:themeColor="text1"/>
          <w:sz w:val="21"/>
          <w:szCs w:val="21"/>
          <w14:textFill>
            <w14:solidFill>
              <w14:schemeClr w14:val="tx1"/>
            </w14:solidFill>
          </w14:textFill>
        </w:rPr>
        <w:t>官方证书、小组成绩报告、优秀小组获得额外证书和礼物</w:t>
      </w:r>
    </w:p>
    <w:p w14:paraId="502F12D5">
      <w:pPr>
        <w:pStyle w:val="25"/>
        <w:keepNext w:val="0"/>
        <w:keepLines w:val="0"/>
        <w:pageBreakBefore w:val="0"/>
        <w:kinsoku/>
        <w:wordWrap/>
        <w:overflowPunct/>
        <w:topLinePunct w:val="0"/>
        <w:bidi w:val="0"/>
        <w:snapToGrid/>
        <w:spacing w:line="288" w:lineRule="auto"/>
        <w:jc w:val="both"/>
        <w:textAlignment w:val="auto"/>
        <w:rPr>
          <w:rFonts w:eastAsia="宋体"/>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项目费用：</w:t>
      </w:r>
      <w:r>
        <w:rPr>
          <w:rFonts w:eastAsia="宋体"/>
          <w:color w:val="000000" w:themeColor="text1"/>
          <w:sz w:val="21"/>
          <w:szCs w:val="21"/>
          <w14:textFill>
            <w14:solidFill>
              <w14:schemeClr w14:val="tx1"/>
            </w14:solidFill>
          </w14:textFill>
        </w:rPr>
        <w:t>3550英镑（根据汇率9，约31900元人民币</w:t>
      </w:r>
      <w:r>
        <w:rPr>
          <w:rFonts w:hint="eastAsia" w:eastAsia="宋体"/>
          <w:color w:val="000000" w:themeColor="text1"/>
          <w:sz w:val="21"/>
          <w:szCs w:val="21"/>
          <w14:textFill>
            <w14:solidFill>
              <w14:schemeClr w14:val="tx1"/>
            </w14:solidFill>
          </w14:textFill>
        </w:rPr>
        <w:t>，缴纳时以银行当天外币汇率为准）</w:t>
      </w:r>
    </w:p>
    <w:p w14:paraId="38F2500B">
      <w:pPr>
        <w:pStyle w:val="25"/>
        <w:keepNext w:val="0"/>
        <w:keepLines w:val="0"/>
        <w:pageBreakBefore w:val="0"/>
        <w:kinsoku/>
        <w:wordWrap/>
        <w:overflowPunct/>
        <w:topLinePunct w:val="0"/>
        <w:bidi w:val="0"/>
        <w:snapToGrid/>
        <w:spacing w:afterAutospacing="0" w:line="288" w:lineRule="auto"/>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14:textFill>
            <w14:solidFill>
              <w14:schemeClr w14:val="tx1"/>
            </w14:solidFill>
          </w14:textFill>
        </w:rPr>
        <w:t>包括：</w:t>
      </w:r>
      <w:r>
        <w:rPr>
          <w:rFonts w:eastAsia="宋体"/>
          <w:color w:val="1F2225"/>
          <w:sz w:val="21"/>
          <w:szCs w:val="21"/>
        </w:rPr>
        <w:t>两周线下课程、学习材料、住宿、早餐、牛津交通卡、英国电话卡、集体参访、团体航班接送机、英国签证办理（不含签证费）</w:t>
      </w:r>
      <w:r>
        <w:rPr>
          <w:rFonts w:hint="eastAsia" w:eastAsia="宋体"/>
          <w:color w:val="1F2225"/>
          <w:sz w:val="21"/>
          <w:szCs w:val="21"/>
        </w:rPr>
        <w:t>；不包括：保险、签证费、机票、部分餐食。</w:t>
      </w:r>
    </w:p>
    <w:p w14:paraId="42F58798">
      <w:pPr>
        <w:keepNext w:val="0"/>
        <w:keepLines w:val="0"/>
        <w:pageBreakBefore w:val="0"/>
        <w:tabs>
          <w:tab w:val="left" w:pos="562"/>
        </w:tabs>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b/>
          <w:bCs/>
          <w:color w:val="000000" w:themeColor="text1"/>
          <w:sz w:val="21"/>
          <w:szCs w:val="21"/>
          <w:lang w:eastAsia="zh-CN"/>
          <w14:textFill>
            <w14:solidFill>
              <w14:schemeClr w14:val="tx1"/>
            </w14:solidFill>
          </w14:textFill>
        </w:rPr>
        <w:t>奖学金</w:t>
      </w:r>
      <w:r>
        <w:rPr>
          <w:rFonts w:hint="eastAsia" w:ascii="宋体" w:hAnsi="宋体" w:eastAsia="宋体" w:cs="宋体"/>
          <w:b/>
          <w:bCs/>
          <w:color w:val="000000" w:themeColor="text1"/>
          <w:sz w:val="21"/>
          <w:szCs w:val="21"/>
          <w:lang w:eastAsia="zh-CN"/>
          <w14:textFill>
            <w14:solidFill>
              <w14:schemeClr w14:val="tx1"/>
            </w14:solidFill>
          </w14:textFill>
        </w:rPr>
        <w:t>：</w:t>
      </w:r>
      <w:r>
        <w:rPr>
          <w:rFonts w:ascii="宋体" w:hAnsi="宋体" w:eastAsia="宋体" w:cs="宋体"/>
          <w:color w:val="000000" w:themeColor="text1"/>
          <w:sz w:val="21"/>
          <w:szCs w:val="21"/>
          <w:lang w:eastAsia="zh-CN"/>
          <w14:textFill>
            <w14:solidFill>
              <w14:schemeClr w14:val="tx1"/>
            </w14:solidFill>
          </w14:textFill>
        </w:rPr>
        <w:t>参加学生有机会获得200-2000元</w:t>
      </w:r>
      <w:r>
        <w:rPr>
          <w:rFonts w:hint="eastAsia" w:ascii="宋体" w:hAnsi="宋体" w:eastAsia="宋体" w:cs="宋体"/>
          <w:color w:val="000000" w:themeColor="text1"/>
          <w:sz w:val="21"/>
          <w:szCs w:val="21"/>
          <w:lang w:eastAsia="zh-CN"/>
          <w14:textFill>
            <w14:solidFill>
              <w14:schemeClr w14:val="tx1"/>
            </w14:solidFill>
          </w14:textFill>
        </w:rPr>
        <w:t>项目大使奖学金（详情咨询项目报名负责老师）</w:t>
      </w:r>
    </w:p>
    <w:p w14:paraId="698BD0CF">
      <w:pPr>
        <w:keepNext w:val="0"/>
        <w:keepLines w:val="0"/>
        <w:pageBreakBefore w:val="0"/>
        <w:tabs>
          <w:tab w:val="left" w:pos="562"/>
        </w:tabs>
        <w:kinsoku/>
        <w:wordWrap/>
        <w:overflowPunct/>
        <w:topLinePunct w:val="0"/>
        <w:bidi w:val="0"/>
        <w:snapToGrid/>
        <w:spacing w:before="0" w:beforeAutospacing="0" w:after="0" w:afterAutospacing="0" w:line="288"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p>
    <w:p w14:paraId="605FA4A3">
      <w:pPr>
        <w:keepNext w:val="0"/>
        <w:keepLines w:val="0"/>
        <w:pageBreakBefore w:val="0"/>
        <w:tabs>
          <w:tab w:val="left" w:pos="562"/>
        </w:tabs>
        <w:kinsoku/>
        <w:wordWrap/>
        <w:overflowPunct/>
        <w:topLinePunct w:val="0"/>
        <w:bidi w:val="0"/>
        <w:snapToGrid/>
        <w:spacing w:before="0" w:beforeAutospacing="0" w:after="0" w:line="288" w:lineRule="auto"/>
        <w:textAlignment w:val="auto"/>
        <w:rPr>
          <w:rFonts w:ascii="宋体" w:hAnsi="宋体" w:eastAsia="宋体"/>
          <w:b/>
          <w:bCs/>
          <w:color w:val="000000" w:themeColor="text1"/>
          <w:sz w:val="21"/>
          <w:szCs w:val="21"/>
          <w:lang w:eastAsia="zh-CN"/>
          <w14:textFill>
            <w14:solidFill>
              <w14:schemeClr w14:val="tx1"/>
            </w14:solidFill>
          </w14:textFill>
        </w:rPr>
      </w:pPr>
      <w:r>
        <w:rPr>
          <w:rFonts w:hint="eastAsia" w:ascii="宋体" w:hAnsi="宋体" w:eastAsia="宋体"/>
          <w:b/>
          <w:bCs/>
          <w:color w:val="000000" w:themeColor="text1"/>
          <w:sz w:val="21"/>
          <w:szCs w:val="21"/>
          <w:lang w:val="en-US" w:eastAsia="zh-CN"/>
          <w14:textFill>
            <w14:solidFill>
              <w14:schemeClr w14:val="tx1"/>
            </w14:solidFill>
          </w14:textFill>
        </w:rPr>
        <w:t>七</w:t>
      </w:r>
      <w:r>
        <w:rPr>
          <w:rFonts w:hint="eastAsia" w:ascii="宋体" w:hAnsi="宋体" w:eastAsia="宋体"/>
          <w:b/>
          <w:bCs/>
          <w:color w:val="000000" w:themeColor="text1"/>
          <w:sz w:val="21"/>
          <w:szCs w:val="21"/>
          <w:lang w:eastAsia="zh-CN"/>
          <w14:textFill>
            <w14:solidFill>
              <w14:schemeClr w14:val="tx1"/>
            </w14:solidFill>
          </w14:textFill>
        </w:rPr>
        <w:t>、项目申请</w:t>
      </w:r>
    </w:p>
    <w:p w14:paraId="503BF9EC">
      <w:pPr>
        <w:pStyle w:val="25"/>
        <w:keepNext w:val="0"/>
        <w:keepLines w:val="0"/>
        <w:pageBreakBefore w:val="0"/>
        <w:kinsoku/>
        <w:wordWrap/>
        <w:overflowPunct/>
        <w:topLinePunct w:val="0"/>
        <w:bidi w:val="0"/>
        <w:snapToGrid/>
        <w:spacing w:line="288" w:lineRule="auto"/>
        <w:textAlignment w:val="auto"/>
        <w:rPr>
          <w:rFonts w:eastAsia="宋体"/>
          <w:color w:val="000000" w:themeColor="text1"/>
          <w:sz w:val="21"/>
          <w:szCs w:val="21"/>
          <w:u w:val="single"/>
          <w14:textFill>
            <w14:solidFill>
              <w14:schemeClr w14:val="tx1"/>
            </w14:solidFill>
          </w14:textFill>
        </w:rPr>
      </w:pPr>
      <w:r>
        <w:rPr>
          <w:rFonts w:hint="eastAsia" w:eastAsia="宋体"/>
          <w:color w:val="000000" w:themeColor="text1"/>
          <w:sz w:val="21"/>
          <w:szCs w:val="21"/>
          <w14:textFill>
            <w14:solidFill>
              <w14:schemeClr w14:val="tx1"/>
            </w14:solidFill>
          </w14:textFill>
        </w:rPr>
        <w:t>申请要求：本科生、研究生；英语最低要求(满足一项即可)：托福76、雅思6、四级450、六级430、高考英语110分、多领国95；无语言成绩者可面试，面试通过替代语言成绩。(申请人数多，签证慢，无护照者需尽快着手准备护照)</w:t>
      </w:r>
      <w:r>
        <w:rPr>
          <w:rFonts w:hint="eastAsia" w:eastAsia="宋体"/>
          <w:color w:val="000000" w:themeColor="text1"/>
          <w:sz w:val="21"/>
          <w:szCs w:val="21"/>
          <w14:textFill>
            <w14:solidFill>
              <w14:schemeClr w14:val="tx1"/>
            </w14:solidFill>
          </w14:textFill>
        </w:rPr>
        <w:br w:type="textWrapping"/>
      </w:r>
      <w:r>
        <w:rPr>
          <w:rFonts w:hint="eastAsia" w:eastAsia="宋体"/>
          <w:color w:val="000000" w:themeColor="text1"/>
          <w:sz w:val="21"/>
          <w:szCs w:val="21"/>
          <w14:textFill>
            <w14:solidFill>
              <w14:schemeClr w14:val="tx1"/>
            </w14:solidFill>
          </w14:textFill>
        </w:rPr>
        <w:t>申请截止日期：</w:t>
      </w:r>
      <w:r>
        <w:rPr>
          <w:rFonts w:eastAsia="宋体"/>
          <w:color w:val="000000" w:themeColor="text1"/>
          <w:sz w:val="21"/>
          <w:szCs w:val="21"/>
          <w14:textFill>
            <w14:solidFill>
              <w14:schemeClr w14:val="tx1"/>
            </w14:solidFill>
          </w14:textFill>
        </w:rPr>
        <w:t>5</w:t>
      </w:r>
      <w:r>
        <w:rPr>
          <w:rFonts w:hint="eastAsia" w:eastAsia="宋体"/>
          <w:color w:val="000000" w:themeColor="text1"/>
          <w:sz w:val="21"/>
          <w:szCs w:val="21"/>
          <w14:textFill>
            <w14:solidFill>
              <w14:schemeClr w14:val="tx1"/>
            </w14:solidFill>
          </w14:textFill>
        </w:rPr>
        <w:t>月15号</w:t>
      </w:r>
    </w:p>
    <w:p w14:paraId="27EFC47A">
      <w:pPr>
        <w:pStyle w:val="25"/>
        <w:keepNext w:val="0"/>
        <w:keepLines w:val="0"/>
        <w:pageBreakBefore w:val="0"/>
        <w:kinsoku/>
        <w:wordWrap/>
        <w:overflowPunct/>
        <w:topLinePunct w:val="0"/>
        <w:bidi w:val="0"/>
        <w:snapToGrid/>
        <w:spacing w:line="288" w:lineRule="auto"/>
        <w:jc w:val="both"/>
        <w:textAlignment w:val="auto"/>
        <w:rPr>
          <w:rFonts w:eastAsia="宋体"/>
          <w:color w:val="000000" w:themeColor="text1"/>
          <w:sz w:val="21"/>
          <w:szCs w:val="21"/>
          <w14:textFill>
            <w14:solidFill>
              <w14:schemeClr w14:val="tx1"/>
            </w14:solidFill>
          </w14:textFill>
        </w:rPr>
      </w:pPr>
    </w:p>
    <w:p w14:paraId="34514BD2">
      <w:pPr>
        <w:pStyle w:val="25"/>
        <w:keepNext w:val="0"/>
        <w:keepLines w:val="0"/>
        <w:pageBreakBefore w:val="0"/>
        <w:kinsoku/>
        <w:wordWrap/>
        <w:overflowPunct/>
        <w:topLinePunct w:val="0"/>
        <w:bidi w:val="0"/>
        <w:snapToGrid/>
        <w:spacing w:line="288" w:lineRule="auto"/>
        <w:jc w:val="both"/>
        <w:textAlignment w:val="auto"/>
        <w:rPr>
          <w:rFonts w:eastAsia="宋体"/>
          <w:b/>
          <w:bCs/>
          <w:color w:val="000000" w:themeColor="text1"/>
          <w:sz w:val="21"/>
          <w:szCs w:val="21"/>
          <w14:textFill>
            <w14:solidFill>
              <w14:schemeClr w14:val="tx1"/>
            </w14:solidFill>
          </w14:textFill>
        </w:rPr>
      </w:pPr>
      <w:r>
        <w:rPr>
          <w:rFonts w:hint="eastAsia" w:eastAsia="宋体"/>
          <w:b/>
          <w:bCs/>
          <w:color w:val="000000" w:themeColor="text1"/>
          <w:sz w:val="21"/>
          <w:szCs w:val="21"/>
          <w14:textFill>
            <w14:solidFill>
              <w14:schemeClr w14:val="tx1"/>
            </w14:solidFill>
          </w14:textFill>
        </w:rPr>
        <w:t>牛津大学临床医学项目中国授权方报名：</w:t>
      </w:r>
    </w:p>
    <w:p w14:paraId="2DD6866A">
      <w:pPr>
        <w:pStyle w:val="25"/>
        <w:keepNext w:val="0"/>
        <w:keepLines w:val="0"/>
        <w:pageBreakBefore w:val="0"/>
        <w:kinsoku/>
        <w:wordWrap/>
        <w:overflowPunct/>
        <w:topLinePunct w:val="0"/>
        <w:bidi w:val="0"/>
        <w:snapToGrid/>
        <w:spacing w:line="288" w:lineRule="auto"/>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lang w:eastAsia="zh-Hans"/>
          <w14:textFill>
            <w14:solidFill>
              <w14:schemeClr w14:val="tx1"/>
            </w14:solidFill>
          </w14:textFill>
        </w:rPr>
        <w:t>屈</w:t>
      </w:r>
      <w:r>
        <w:rPr>
          <w:rFonts w:hint="eastAsia" w:eastAsia="宋体"/>
          <w:color w:val="000000" w:themeColor="text1"/>
          <w:sz w:val="21"/>
          <w:szCs w:val="21"/>
          <w14:textFill>
            <w14:solidFill>
              <w14:schemeClr w14:val="tx1"/>
            </w14:solidFill>
          </w14:textFill>
        </w:rPr>
        <w:t>老师，微信号ispconsultant（可微信咨询或报名，请标注国内学校+专业+姓名）</w:t>
      </w:r>
    </w:p>
    <w:p w14:paraId="19EF6328">
      <w:pPr>
        <w:pStyle w:val="25"/>
        <w:keepNext w:val="0"/>
        <w:keepLines w:val="0"/>
        <w:pageBreakBefore w:val="0"/>
        <w:kinsoku/>
        <w:wordWrap/>
        <w:overflowPunct/>
        <w:topLinePunct w:val="0"/>
        <w:bidi w:val="0"/>
        <w:snapToGrid/>
        <w:spacing w:line="288" w:lineRule="auto"/>
        <w:jc w:val="both"/>
        <w:textAlignment w:val="auto"/>
        <w:rPr>
          <w:rFonts w:eastAsia="宋体"/>
          <w:color w:val="000000" w:themeColor="text1"/>
          <w:sz w:val="21"/>
          <w:szCs w:val="21"/>
          <w14:textFill>
            <w14:solidFill>
              <w14:schemeClr w14:val="tx1"/>
            </w14:solidFill>
          </w14:textFill>
        </w:rPr>
      </w:pPr>
      <w:r>
        <w:rPr>
          <w:rFonts w:eastAsia="宋体"/>
          <w:sz w:val="21"/>
          <w:szCs w:val="21"/>
        </w:rPr>
        <w:drawing>
          <wp:inline distT="0" distB="0" distL="114300" distR="114300">
            <wp:extent cx="952500" cy="956310"/>
            <wp:effectExtent l="0" t="0" r="12700"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952500" cy="956310"/>
                    </a:xfrm>
                    <a:prstGeom prst="rect">
                      <a:avLst/>
                    </a:prstGeom>
                    <a:noFill/>
                    <a:ln w="9525">
                      <a:noFill/>
                    </a:ln>
                  </pic:spPr>
                </pic:pic>
              </a:graphicData>
            </a:graphic>
          </wp:inline>
        </w:drawing>
      </w:r>
      <w:r>
        <w:rPr>
          <w:rFonts w:hint="eastAsia" w:eastAsia="宋体"/>
          <w:color w:val="000000" w:themeColor="text1"/>
          <w:sz w:val="21"/>
          <w:szCs w:val="21"/>
          <w14:textFill>
            <w14:solidFill>
              <w14:schemeClr w14:val="tx1"/>
            </w14:solidFill>
          </w14:textFill>
        </w:rPr>
        <w:drawing>
          <wp:inline distT="0" distB="0" distL="0" distR="0">
            <wp:extent cx="1038860" cy="1038860"/>
            <wp:effectExtent l="0" t="0" r="2540" b="2540"/>
            <wp:docPr id="4"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1-ISP\临时\二维码\校内申请中的问与答.jpg"/>
                    <pic:cNvPicPr>
                      <a:picLocks noChangeAspect="1" noChangeArrowheads="1"/>
                    </pic:cNvPicPr>
                  </pic:nvPicPr>
                  <pic:blipFill>
                    <a:blip r:embed="rId7"/>
                    <a:srcRect/>
                    <a:stretch>
                      <a:fillRect/>
                    </a:stretch>
                  </pic:blipFill>
                  <pic:spPr>
                    <a:xfrm>
                      <a:off x="0" y="0"/>
                      <a:ext cx="1038860" cy="1038860"/>
                    </a:xfrm>
                    <a:prstGeom prst="rect">
                      <a:avLst/>
                    </a:prstGeom>
                    <a:noFill/>
                    <a:ln w="9525">
                      <a:noFill/>
                      <a:miter lim="800000"/>
                      <a:headEnd/>
                      <a:tailEnd/>
                    </a:ln>
                  </pic:spPr>
                </pic:pic>
              </a:graphicData>
            </a:graphic>
          </wp:inline>
        </w:drawing>
      </w:r>
    </w:p>
    <w:p w14:paraId="0FBBB66C">
      <w:pPr>
        <w:pStyle w:val="25"/>
        <w:keepNext w:val="0"/>
        <w:keepLines w:val="0"/>
        <w:pageBreakBefore w:val="0"/>
        <w:kinsoku/>
        <w:wordWrap/>
        <w:overflowPunct/>
        <w:topLinePunct w:val="0"/>
        <w:bidi w:val="0"/>
        <w:snapToGrid/>
        <w:spacing w:line="288" w:lineRule="auto"/>
        <w:jc w:val="both"/>
        <w:textAlignment w:val="auto"/>
        <w:rPr>
          <w:rFonts w:eastAsia="宋体"/>
          <w:color w:val="000000" w:themeColor="text1"/>
          <w:sz w:val="21"/>
          <w:szCs w:val="21"/>
          <w14:textFill>
            <w14:solidFill>
              <w14:schemeClr w14:val="tx1"/>
            </w14:solidFill>
          </w14:textFill>
        </w:rPr>
      </w:pPr>
      <w:r>
        <w:rPr>
          <w:rFonts w:hint="eastAsia" w:eastAsia="宋体"/>
          <w:color w:val="000000" w:themeColor="text1"/>
          <w:sz w:val="21"/>
          <w:szCs w:val="21"/>
          <w14:textFill>
            <w14:solidFill>
              <w14:schemeClr w14:val="tx1"/>
            </w14:solidFill>
          </w14:textFill>
        </w:rPr>
        <w:t>更多项目信息，关注上方微信公众号</w:t>
      </w:r>
    </w:p>
    <w:p w14:paraId="3595DD82">
      <w:pPr>
        <w:keepNext w:val="0"/>
        <w:keepLines w:val="0"/>
        <w:pageBreakBefore w:val="0"/>
        <w:kinsoku/>
        <w:wordWrap/>
        <w:overflowPunct/>
        <w:topLinePunct w:val="0"/>
        <w:bidi w:val="0"/>
        <w:snapToGrid/>
        <w:spacing w:line="288" w:lineRule="auto"/>
        <w:textAlignment w:val="auto"/>
        <w:rPr>
          <w:rFonts w:ascii="宋体" w:hAnsi="宋体" w:eastAsia="宋体"/>
          <w:sz w:val="21"/>
          <w:szCs w:val="21"/>
          <w:lang w:eastAsia="zh-CN"/>
        </w:rPr>
      </w:pPr>
    </w:p>
    <w:p w14:paraId="2128B140">
      <w:pPr>
        <w:keepNext w:val="0"/>
        <w:keepLines w:val="0"/>
        <w:pageBreakBefore w:val="0"/>
        <w:kinsoku/>
        <w:wordWrap/>
        <w:overflowPunct/>
        <w:topLinePunct w:val="0"/>
        <w:bidi w:val="0"/>
        <w:snapToGrid/>
        <w:spacing w:line="288" w:lineRule="auto"/>
        <w:textAlignment w:val="auto"/>
        <w:rPr>
          <w:rFonts w:ascii="宋体" w:hAnsi="宋体" w:eastAsia="宋体"/>
          <w:sz w:val="21"/>
          <w:szCs w:val="21"/>
          <w:lang w:eastAsia="zh-CN"/>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w:panose1 w:val="00000000000000000000"/>
    <w:charset w:val="00"/>
    <w:family w:val="auto"/>
    <w:pitch w:val="default"/>
    <w:sig w:usb0="E00002FF" w:usb1="5000785B" w:usb2="00000000" w:usb3="00000000" w:csb0="2000019F" w:csb1="4F010000"/>
  </w:font>
  <w:font w:name="等线 Light">
    <w:altName w:val="汉仪中等线KW"/>
    <w:panose1 w:val="02010600030101010101"/>
    <w:charset w:val="86"/>
    <w:family w:val="auto"/>
    <w:pitch w:val="default"/>
    <w:sig w:usb0="00000000" w:usb1="00000000" w:usb2="00000016" w:usb3="00000000" w:csb0="0004000F" w:csb1="00000000"/>
  </w:font>
  <w:font w:name="Cordia New">
    <w:altName w:val="Microsoft Sans Serif"/>
    <w:panose1 w:val="020B0304020202020204"/>
    <w:charset w:val="DE"/>
    <w:family w:val="swiss"/>
    <w:pitch w:val="default"/>
    <w:sig w:usb0="00000000" w:usb1="00000000" w:usb2="00000000" w:usb3="00000000" w:csb0="00010001" w:csb1="00000000"/>
  </w:font>
  <w:font w:name="等线">
    <w:altName w:val="汉仪中等线KW"/>
    <w:panose1 w:val="00000000000000000000"/>
    <w:charset w:val="00"/>
    <w:family w:val="auto"/>
    <w:pitch w:val="default"/>
    <w:sig w:usb0="00000000" w:usb1="00000000" w:usb2="00000000" w:usb3="00000000" w:csb0="00000000" w:csb1="00000000"/>
  </w:font>
  <w:font w:name="Courier New">
    <w:panose1 w:val="02070609020205020404"/>
    <w:charset w:val="00"/>
    <w:family w:val="modern"/>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Microsoft Sans Serif">
    <w:panose1 w:val="020B0604020202020204"/>
    <w:charset w:val="00"/>
    <w:family w:val="auto"/>
    <w:pitch w:val="default"/>
    <w:sig w:usb0="E1002AFF" w:usb1="C0000002" w:usb2="00000008" w:usb3="00000000" w:csb0="200101FF" w:csb1="20280000"/>
  </w:font>
  <w:font w:name="等线 Light">
    <w:altName w:val="汉仪中等线KW"/>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AAA2"/>
    <w:multiLevelType w:val="multilevel"/>
    <w:tmpl w:val="0000AAA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1728D9"/>
    <w:multiLevelType w:val="multilevel"/>
    <w:tmpl w:val="1A1728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CD2CE6"/>
    <w:multiLevelType w:val="multilevel"/>
    <w:tmpl w:val="65CD2CE6"/>
    <w:lvl w:ilvl="0" w:tentative="0">
      <w:start w:val="1"/>
      <w:numFmt w:val="bullet"/>
      <w:lvlText w:val="-"/>
      <w:lvlJc w:val="left"/>
      <w:pPr>
        <w:ind w:left="720" w:hanging="360"/>
      </w:pPr>
      <w:rPr>
        <w:rFonts w:hint="default" w:ascii="Calibri" w:hAnsi="Calibri"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663"/>
    <w:rsid w:val="00024B71"/>
    <w:rsid w:val="000858C5"/>
    <w:rsid w:val="000F5A54"/>
    <w:rsid w:val="0010639D"/>
    <w:rsid w:val="00183A7B"/>
    <w:rsid w:val="0023753B"/>
    <w:rsid w:val="00260E2A"/>
    <w:rsid w:val="002A6717"/>
    <w:rsid w:val="00311808"/>
    <w:rsid w:val="00396FB1"/>
    <w:rsid w:val="003D6830"/>
    <w:rsid w:val="00402E43"/>
    <w:rsid w:val="00492AA5"/>
    <w:rsid w:val="004C5990"/>
    <w:rsid w:val="005F6B3C"/>
    <w:rsid w:val="00743663"/>
    <w:rsid w:val="007B3E8E"/>
    <w:rsid w:val="007F1FCD"/>
    <w:rsid w:val="007F52C0"/>
    <w:rsid w:val="00805681"/>
    <w:rsid w:val="00817521"/>
    <w:rsid w:val="008642C5"/>
    <w:rsid w:val="008B62D3"/>
    <w:rsid w:val="009447A9"/>
    <w:rsid w:val="009760B3"/>
    <w:rsid w:val="009A599A"/>
    <w:rsid w:val="00A0724F"/>
    <w:rsid w:val="00A568F7"/>
    <w:rsid w:val="00A806FD"/>
    <w:rsid w:val="00A86D04"/>
    <w:rsid w:val="00A97529"/>
    <w:rsid w:val="00AE75FF"/>
    <w:rsid w:val="00B26C3A"/>
    <w:rsid w:val="00B31E38"/>
    <w:rsid w:val="00D16841"/>
    <w:rsid w:val="00D35CCD"/>
    <w:rsid w:val="00DA41DE"/>
    <w:rsid w:val="00F062ED"/>
    <w:rsid w:val="00F262AE"/>
    <w:rsid w:val="00F94927"/>
    <w:rsid w:val="00FB2764"/>
    <w:rsid w:val="6FBC2FDB"/>
    <w:rsid w:val="7BFB8194"/>
    <w:rsid w:val="81F76757"/>
    <w:rsid w:val="C58AC0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64" w:lineRule="auto"/>
    </w:pPr>
    <w:rPr>
      <w:rFonts w:ascii="Helvetica" w:hAnsi="Helvetica" w:eastAsia="Times New Roman" w:cs="Times New Roman"/>
      <w:sz w:val="22"/>
      <w:szCs w:val="22"/>
      <w:lang w:val="en-US" w:eastAsia="en-GB" w:bidi="ar-SA"/>
    </w:rPr>
  </w:style>
  <w:style w:type="paragraph" w:styleId="2">
    <w:name w:val="heading 1"/>
    <w:basedOn w:val="1"/>
    <w:next w:val="1"/>
    <w:link w:val="11"/>
    <w:qFormat/>
    <w:uiPriority w:val="9"/>
    <w:pPr>
      <w:keepNext/>
      <w:keepLines/>
      <w:spacing w:before="560" w:after="320"/>
      <w:outlineLvl w:val="0"/>
    </w:pPr>
    <w:rPr>
      <w:rFonts w:eastAsiaTheme="majorEastAsia" w:cstheme="majorBidi"/>
      <w:b/>
      <w:bCs/>
      <w:color w:val="000000" w:themeColor="text1"/>
      <w:sz w:val="48"/>
      <w:szCs w:val="32"/>
      <w14:textFill>
        <w14:solidFill>
          <w14:schemeClr w14:val="tx1"/>
        </w14:solidFill>
      </w14:textFill>
    </w:rPr>
  </w:style>
  <w:style w:type="paragraph" w:styleId="3">
    <w:name w:val="heading 2"/>
    <w:basedOn w:val="1"/>
    <w:next w:val="1"/>
    <w:link w:val="12"/>
    <w:unhideWhenUsed/>
    <w:qFormat/>
    <w:uiPriority w:val="9"/>
    <w:pPr>
      <w:keepNext/>
      <w:keepLines/>
      <w:spacing w:before="400" w:after="240"/>
      <w:outlineLvl w:val="1"/>
    </w:pPr>
    <w:rPr>
      <w:rFonts w:eastAsiaTheme="majorEastAsia" w:cstheme="majorBidi"/>
      <w:b/>
      <w:bCs/>
      <w:color w:val="000000" w:themeColor="text1"/>
      <w:sz w:val="40"/>
      <w:szCs w:val="40"/>
      <w14:textFill>
        <w14:solidFill>
          <w14:schemeClr w14:val="tx1"/>
        </w14:solidFill>
      </w14:textFill>
    </w:rPr>
  </w:style>
  <w:style w:type="paragraph" w:styleId="4">
    <w:name w:val="heading 3"/>
    <w:basedOn w:val="1"/>
    <w:next w:val="1"/>
    <w:link w:val="13"/>
    <w:unhideWhenUsed/>
    <w:qFormat/>
    <w:uiPriority w:val="9"/>
    <w:pPr>
      <w:keepNext/>
      <w:keepLines/>
      <w:spacing w:before="320" w:after="160"/>
      <w:outlineLvl w:val="2"/>
    </w:pPr>
    <w:rPr>
      <w:rFonts w:eastAsiaTheme="majorEastAsia" w:cstheme="majorBidi"/>
      <w:b/>
      <w:bCs/>
      <w:color w:val="000000" w:themeColor="text1"/>
      <w:sz w:val="32"/>
      <w:szCs w:val="32"/>
      <w14:textFill>
        <w14:solidFill>
          <w14:schemeClr w14:val="tx1"/>
        </w14:solidFill>
      </w14:textFill>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caption"/>
    <w:basedOn w:val="1"/>
    <w:next w:val="1"/>
    <w:unhideWhenUsed/>
    <w:qFormat/>
    <w:uiPriority w:val="35"/>
    <w:pPr>
      <w:spacing w:before="0" w:after="200"/>
    </w:pPr>
    <w:rPr>
      <w:i/>
      <w:iCs/>
      <w:color w:val="44546A" w:themeColor="text2"/>
      <w:sz w:val="18"/>
      <w:szCs w:val="18"/>
      <w14:textFill>
        <w14:solidFill>
          <w14:schemeClr w14:val="tx2"/>
        </w14:solidFill>
      </w14:textFill>
    </w:rPr>
  </w:style>
  <w:style w:type="paragraph" w:styleId="6">
    <w:name w:val="Body Text"/>
    <w:basedOn w:val="1"/>
    <w:link w:val="24"/>
    <w:qFormat/>
    <w:uiPriority w:val="1"/>
    <w:pPr>
      <w:autoSpaceDE w:val="0"/>
      <w:autoSpaceDN w:val="0"/>
      <w:spacing w:before="0" w:after="0" w:line="240" w:lineRule="auto"/>
      <w:ind w:left="252"/>
    </w:pPr>
    <w:rPr>
      <w:rFonts w:ascii="宋体" w:hAnsi="宋体" w:cs="宋体" w:eastAsiaTheme="minorEastAsia"/>
      <w:sz w:val="24"/>
      <w:szCs w:val="24"/>
      <w:lang w:val="en-GB" w:eastAsia="zh-CN"/>
    </w:rPr>
  </w:style>
  <w:style w:type="paragraph" w:styleId="7">
    <w:name w:val="Title"/>
    <w:basedOn w:val="1"/>
    <w:next w:val="1"/>
    <w:link w:val="14"/>
    <w:qFormat/>
    <w:uiPriority w:val="10"/>
    <w:pPr>
      <w:spacing w:before="160" w:after="640"/>
      <w:contextualSpacing/>
    </w:pPr>
    <w:rPr>
      <w:rFonts w:eastAsiaTheme="majorEastAsia" w:cstheme="majorBidi"/>
      <w:b/>
      <w:spacing w:val="-10"/>
      <w:kern w:val="28"/>
      <w:sz w:val="56"/>
      <w:szCs w:val="56"/>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字符"/>
    <w:basedOn w:val="10"/>
    <w:link w:val="2"/>
    <w:uiPriority w:val="9"/>
    <w:rPr>
      <w:rFonts w:ascii="Helvetica" w:hAnsi="Helvetica" w:eastAsiaTheme="majorEastAsia" w:cstheme="majorBidi"/>
      <w:b/>
      <w:bCs/>
      <w:color w:val="000000" w:themeColor="text1"/>
      <w:sz w:val="48"/>
      <w:szCs w:val="32"/>
      <w:lang w:val="en-US" w:eastAsia="en-GB"/>
      <w14:textFill>
        <w14:solidFill>
          <w14:schemeClr w14:val="tx1"/>
        </w14:solidFill>
      </w14:textFill>
    </w:rPr>
  </w:style>
  <w:style w:type="character" w:customStyle="1" w:styleId="12">
    <w:name w:val="标题 2 字符"/>
    <w:basedOn w:val="10"/>
    <w:link w:val="3"/>
    <w:uiPriority w:val="9"/>
    <w:rPr>
      <w:rFonts w:ascii="Helvetica" w:hAnsi="Helvetica" w:eastAsiaTheme="majorEastAsia" w:cstheme="majorBidi"/>
      <w:b/>
      <w:bCs/>
      <w:color w:val="000000" w:themeColor="text1"/>
      <w:sz w:val="40"/>
      <w:szCs w:val="40"/>
      <w:lang w:val="en-US" w:eastAsia="en-GB"/>
      <w14:textFill>
        <w14:solidFill>
          <w14:schemeClr w14:val="tx1"/>
        </w14:solidFill>
      </w14:textFill>
    </w:rPr>
  </w:style>
  <w:style w:type="character" w:customStyle="1" w:styleId="13">
    <w:name w:val="标题 3 字符"/>
    <w:basedOn w:val="10"/>
    <w:link w:val="4"/>
    <w:uiPriority w:val="9"/>
    <w:rPr>
      <w:rFonts w:ascii="Helvetica" w:hAnsi="Helvetica" w:eastAsiaTheme="majorEastAsia" w:cstheme="majorBidi"/>
      <w:b/>
      <w:bCs/>
      <w:color w:val="000000" w:themeColor="text1"/>
      <w:sz w:val="32"/>
      <w:szCs w:val="32"/>
      <w:lang w:val="en-US" w:eastAsia="en-GB"/>
      <w14:textFill>
        <w14:solidFill>
          <w14:schemeClr w14:val="tx1"/>
        </w14:solidFill>
      </w14:textFill>
    </w:rPr>
  </w:style>
  <w:style w:type="character" w:customStyle="1" w:styleId="14">
    <w:name w:val="标题 字符"/>
    <w:basedOn w:val="10"/>
    <w:link w:val="7"/>
    <w:uiPriority w:val="10"/>
    <w:rPr>
      <w:rFonts w:ascii="Helvetica" w:hAnsi="Helvetica" w:eastAsiaTheme="majorEastAsia" w:cstheme="majorBidi"/>
      <w:b/>
      <w:spacing w:val="-10"/>
      <w:kern w:val="28"/>
      <w:sz w:val="56"/>
      <w:szCs w:val="56"/>
      <w:lang w:val="en-US" w:eastAsia="en-GB"/>
    </w:rPr>
  </w:style>
  <w:style w:type="paragraph" w:customStyle="1" w:styleId="15">
    <w:name w:val="Strong Heading"/>
    <w:basedOn w:val="1"/>
    <w:qFormat/>
    <w:uiPriority w:val="0"/>
    <w:rPr>
      <w:b/>
      <w:sz w:val="24"/>
      <w:szCs w:val="24"/>
    </w:rPr>
  </w:style>
  <w:style w:type="paragraph" w:customStyle="1" w:styleId="16">
    <w:name w:val="Focus"/>
    <w:basedOn w:val="1"/>
    <w:qFormat/>
    <w:uiPriority w:val="0"/>
    <w:pPr>
      <w:pBdr>
        <w:left w:val="single" w:color="auto" w:sz="24" w:space="8"/>
      </w:pBdr>
      <w:spacing w:before="0" w:after="0"/>
      <w:ind w:left="238"/>
    </w:pPr>
  </w:style>
  <w:style w:type="paragraph" w:customStyle="1" w:styleId="17">
    <w:name w:val="Block"/>
    <w:basedOn w:val="1"/>
    <w:qFormat/>
    <w:uiPriority w:val="0"/>
    <w:pPr>
      <w:shd w:val="clear" w:color="auto" w:fill="E7E6E6" w:themeFill="background2"/>
      <w:spacing w:before="320" w:after="320"/>
    </w:pPr>
  </w:style>
  <w:style w:type="paragraph" w:customStyle="1" w:styleId="18">
    <w:name w:val="Light Separator"/>
    <w:qFormat/>
    <w:uiPriority w:val="0"/>
    <w:pPr>
      <w:jc w:val="center"/>
    </w:pPr>
    <w:rPr>
      <w:rFonts w:eastAsia="Times New Roman" w:cs="Times New Roman" w:asciiTheme="minorHAnsi" w:hAnsiTheme="minorHAnsi"/>
      <w:sz w:val="24"/>
      <w:szCs w:val="24"/>
      <w:shd w:val="clear" w:color="auto" w:fill="FDFDFD"/>
      <w:lang w:val="en-US" w:eastAsia="en-GB" w:bidi="ar-SA"/>
    </w:rPr>
  </w:style>
  <w:style w:type="paragraph" w:customStyle="1" w:styleId="19">
    <w:name w:val="Todo"/>
    <w:basedOn w:val="1"/>
    <w:qFormat/>
    <w:uiPriority w:val="0"/>
    <w:pPr>
      <w:spacing w:before="80" w:after="80"/>
    </w:pPr>
  </w:style>
  <w:style w:type="paragraph" w:styleId="20">
    <w:name w:val="List Paragraph"/>
    <w:basedOn w:val="1"/>
    <w:qFormat/>
    <w:uiPriority w:val="99"/>
    <w:pPr>
      <w:contextualSpacing/>
    </w:pPr>
  </w:style>
  <w:style w:type="character" w:customStyle="1" w:styleId="21">
    <w:name w:val="code"/>
    <w:basedOn w:val="10"/>
    <w:uiPriority w:val="0"/>
  </w:style>
  <w:style w:type="paragraph" w:customStyle="1" w:styleId="22">
    <w:name w:val="PageStyle"/>
    <w:basedOn w:val="1"/>
    <w:qFormat/>
    <w:uiPriority w:val="0"/>
    <w:rPr>
      <w:b/>
      <w:bCs/>
      <w:sz w:val="26"/>
      <w:szCs w:val="26"/>
      <w:u w:val="single"/>
    </w:rPr>
  </w:style>
  <w:style w:type="paragraph" w:customStyle="1" w:styleId="23">
    <w:name w:val="Snippet"/>
    <w:basedOn w:val="1"/>
    <w:qFormat/>
    <w:uiPriority w:val="0"/>
    <w:pPr>
      <w:spacing w:before="360" w:after="360"/>
    </w:pPr>
    <w:rPr>
      <w:rFonts w:ascii="Cordia New" w:hAnsi="Cordia New"/>
      <w:color w:val="000000" w:themeColor="text1"/>
      <w14:textFill>
        <w14:solidFill>
          <w14:schemeClr w14:val="tx1"/>
        </w14:solidFill>
      </w14:textFill>
    </w:rPr>
  </w:style>
  <w:style w:type="character" w:customStyle="1" w:styleId="24">
    <w:name w:val="正文文本 字符"/>
    <w:basedOn w:val="10"/>
    <w:link w:val="6"/>
    <w:uiPriority w:val="1"/>
    <w:rPr>
      <w:rFonts w:ascii="宋体" w:hAnsi="宋体" w:cs="宋体" w:eastAsiaTheme="minorEastAsia"/>
      <w:lang w:eastAsia="zh-CN"/>
    </w:rPr>
  </w:style>
  <w:style w:type="paragraph" w:customStyle="1" w:styleId="25">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F81DAD08-96FF-AB47-8C65-FA7F34177B47}">
  <ds:schemaRefs/>
</ds:datastoreItem>
</file>

<file path=docProps/app.xml><?xml version="1.0" encoding="utf-8"?>
<Properties xmlns="http://schemas.openxmlformats.org/officeDocument/2006/extended-properties" xmlns:vt="http://schemas.openxmlformats.org/officeDocument/2006/docPropsVTypes">
  <Template>Normal.dotm</Template>
  <Pages>6</Pages>
  <Words>902</Words>
  <Characters>5142</Characters>
  <Lines>42</Lines>
  <Paragraphs>12</Paragraphs>
  <TotalTime>122</TotalTime>
  <ScaleCrop>false</ScaleCrop>
  <LinksUpToDate>false</LinksUpToDate>
  <CharactersWithSpaces>6032</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2026-03-02T16:50:00Z</dcterms:created>
  <dc:creator>456e4ef2-de50-88b0-73a6-16ff3951b974</dc:creator>
  <cp:lastModifiedBy>白大梦。</cp:lastModifiedBy>
  <dcterms:modified xsi:type="dcterms:W3CDTF">2026-03-05T09:54:33Z</dcterms:modified>
  <dc:title>01 - 26夏季牛津医学项目书</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C7F541FD0FE3215A9ADDA8699DC9245E_42</vt:lpwstr>
  </property>
</Properties>
</file>