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AD2DAA">
      <w:pPr>
        <w:pStyle w:val="14"/>
        <w:keepNext w:val="0"/>
        <w:keepLines w:val="0"/>
        <w:pageBreakBefore w:val="0"/>
        <w:kinsoku/>
        <w:wordWrap/>
        <w:overflowPunct/>
        <w:topLinePunct w:val="0"/>
        <w:bidi w:val="0"/>
        <w:snapToGrid/>
        <w:spacing w:line="24" w:lineRule="atLeast"/>
        <w:jc w:val="center"/>
        <w:textAlignment w:val="auto"/>
        <w:rPr>
          <w:rFonts w:eastAsia="宋体"/>
          <w:b/>
          <w:color w:val="000000" w:themeColor="text1"/>
          <w:sz w:val="21"/>
          <w:szCs w:val="21"/>
          <w14:textFill>
            <w14:solidFill>
              <w14:schemeClr w14:val="tx1"/>
            </w14:solidFill>
          </w14:textFill>
        </w:rPr>
      </w:pPr>
      <w:r>
        <w:rPr>
          <w:rFonts w:hint="eastAsia" w:eastAsia="宋体"/>
          <w:b/>
          <w:color w:val="000000" w:themeColor="text1"/>
          <w:sz w:val="21"/>
          <w:szCs w:val="21"/>
          <w14:textFill>
            <w14:solidFill>
              <w14:schemeClr w14:val="tx1"/>
            </w14:solidFill>
          </w14:textFill>
        </w:rPr>
        <w:t>关于选拔牛津大学2</w:t>
      </w:r>
      <w:r>
        <w:rPr>
          <w:rFonts w:eastAsia="宋体"/>
          <w:b/>
          <w:color w:val="000000" w:themeColor="text1"/>
          <w:sz w:val="21"/>
          <w:szCs w:val="21"/>
          <w14:textFill>
            <w14:solidFill>
              <w14:schemeClr w14:val="tx1"/>
            </w14:solidFill>
          </w14:textFill>
        </w:rPr>
        <w:t>026</w:t>
      </w:r>
      <w:r>
        <w:rPr>
          <w:rFonts w:hint="eastAsia" w:eastAsia="宋体"/>
          <w:b/>
          <w:color w:val="000000" w:themeColor="text1"/>
          <w:sz w:val="21"/>
          <w:szCs w:val="21"/>
          <w14:textFill>
            <w14:solidFill>
              <w14:schemeClr w14:val="tx1"/>
            </w14:solidFill>
          </w14:textFill>
        </w:rPr>
        <w:t>年暑期药学项目通知</w:t>
      </w:r>
    </w:p>
    <w:p w14:paraId="4CBDC22D">
      <w:pPr>
        <w:pStyle w:val="14"/>
        <w:keepNext w:val="0"/>
        <w:keepLines w:val="0"/>
        <w:pageBreakBefore w:val="0"/>
        <w:kinsoku/>
        <w:wordWrap/>
        <w:overflowPunct/>
        <w:topLinePunct w:val="0"/>
        <w:bidi w:val="0"/>
        <w:snapToGrid/>
        <w:spacing w:line="24" w:lineRule="atLeast"/>
        <w:ind w:firstLine="420" w:firstLineChars="200"/>
        <w:jc w:val="center"/>
        <w:textAlignment w:val="auto"/>
        <w:rPr>
          <w:rFonts w:eastAsia="宋体"/>
          <w:b/>
          <w:color w:val="000000" w:themeColor="text1"/>
          <w:sz w:val="21"/>
          <w:szCs w:val="21"/>
          <w14:textFill>
            <w14:solidFill>
              <w14:schemeClr w14:val="tx1"/>
            </w14:solidFill>
          </w14:textFill>
        </w:rPr>
      </w:pPr>
    </w:p>
    <w:p w14:paraId="26CF1603">
      <w:pPr>
        <w:pStyle w:val="14"/>
        <w:keepNext w:val="0"/>
        <w:keepLines w:val="0"/>
        <w:pageBreakBefore w:val="0"/>
        <w:kinsoku/>
        <w:wordWrap/>
        <w:overflowPunct/>
        <w:topLinePunct w:val="0"/>
        <w:bidi w:val="0"/>
        <w:snapToGrid/>
        <w:spacing w:line="24" w:lineRule="atLeast"/>
        <w:ind w:firstLine="420" w:firstLineChars="200"/>
        <w:jc w:val="both"/>
        <w:textAlignment w:val="auto"/>
        <w:rPr>
          <w:rFonts w:eastAsia="宋体"/>
          <w:color w:val="000000" w:themeColor="text1"/>
          <w:sz w:val="21"/>
          <w:szCs w:val="21"/>
          <w14:textFill>
            <w14:solidFill>
              <w14:schemeClr w14:val="tx1"/>
            </w14:solidFill>
          </w14:textFill>
        </w:rPr>
      </w:pPr>
      <w:r>
        <w:rPr>
          <w:rFonts w:hint="eastAsia" w:eastAsia="宋体"/>
          <w:color w:val="000000" w:themeColor="text1"/>
          <w:sz w:val="21"/>
          <w:szCs w:val="21"/>
          <w14:textFill>
            <w14:solidFill>
              <w14:schemeClr w14:val="tx1"/>
            </w14:solidFill>
          </w14:textFill>
        </w:rPr>
        <w:t>为实施我校国际化战略，帮助我校学生有机会参加世界一流大学的学习，也为了部分同学毕业后赴世界一流大学或研究机构继续深造，特组织牛津大学</w:t>
      </w:r>
      <w:r>
        <w:rPr>
          <w:rFonts w:eastAsia="宋体"/>
          <w:color w:val="000000" w:themeColor="text1"/>
          <w:sz w:val="21"/>
          <w:szCs w:val="21"/>
          <w14:textFill>
            <w14:solidFill>
              <w14:schemeClr w14:val="tx1"/>
            </w14:solidFill>
          </w14:textFill>
        </w:rPr>
        <w:t>2026</w:t>
      </w:r>
      <w:r>
        <w:rPr>
          <w:rFonts w:hint="eastAsia" w:eastAsia="宋体"/>
          <w:color w:val="000000" w:themeColor="text1"/>
          <w:sz w:val="21"/>
          <w:szCs w:val="21"/>
          <w:lang w:eastAsia="zh-Hans"/>
          <w14:textFill>
            <w14:solidFill>
              <w14:schemeClr w14:val="tx1"/>
            </w14:solidFill>
          </w14:textFill>
        </w:rPr>
        <w:t>年</w:t>
      </w:r>
      <w:r>
        <w:rPr>
          <w:rFonts w:hint="eastAsia" w:eastAsia="宋体"/>
          <w:color w:val="000000" w:themeColor="text1"/>
          <w:sz w:val="21"/>
          <w:szCs w:val="21"/>
          <w14:textFill>
            <w14:solidFill>
              <w14:schemeClr w14:val="tx1"/>
            </w14:solidFill>
          </w14:textFill>
        </w:rPr>
        <w:t>暑期药学项目。项目期间，同学们将赴牛津大学，有幸师从于牛津药学和医学的专家、教授，并与其进行直接交流，深入学习先进的药学前沿研究、发展和应用，并获得官方证书，为后续海外名校申研、更高学术造诣深造和职业发展提供海外学术背景强力支持。现将相关事项通知如下：</w:t>
      </w:r>
    </w:p>
    <w:p w14:paraId="718C2683">
      <w:pPr>
        <w:keepNext w:val="0"/>
        <w:keepLines w:val="0"/>
        <w:pageBreakBefore w:val="0"/>
        <w:kinsoku/>
        <w:wordWrap/>
        <w:overflowPunct/>
        <w:topLinePunct w:val="0"/>
        <w:bidi w:val="0"/>
        <w:snapToGrid/>
        <w:spacing w:line="24" w:lineRule="atLeast"/>
        <w:textAlignment w:val="auto"/>
        <w:rPr>
          <w:rFonts w:ascii="宋体" w:hAnsi="宋体" w:eastAsia="宋体"/>
          <w:color w:val="000000" w:themeColor="text1"/>
          <w:szCs w:val="21"/>
          <w14:textFill>
            <w14:solidFill>
              <w14:schemeClr w14:val="tx1"/>
            </w14:solidFill>
          </w14:textFill>
        </w:rPr>
      </w:pPr>
    </w:p>
    <w:p w14:paraId="28AE5CFD">
      <w:pPr>
        <w:pStyle w:val="4"/>
        <w:keepNext w:val="0"/>
        <w:keepLines w:val="0"/>
        <w:pageBreakBefore w:val="0"/>
        <w:widowControl w:val="0"/>
        <w:kinsoku/>
        <w:wordWrap/>
        <w:overflowPunct/>
        <w:topLinePunct w:val="0"/>
        <w:bidi w:val="0"/>
        <w:snapToGrid/>
        <w:spacing w:line="24" w:lineRule="atLeast"/>
        <w:ind w:left="0"/>
        <w:textAlignment w:val="auto"/>
        <w:rPr>
          <w:rFonts w:eastAsia="宋体"/>
          <w:color w:val="FF0000"/>
          <w:sz w:val="21"/>
          <w:szCs w:val="21"/>
          <w:lang w:val="en-US"/>
        </w:rPr>
      </w:pPr>
      <w:r>
        <w:rPr>
          <w:rFonts w:hint="eastAsia" w:eastAsia="宋体"/>
          <w:color w:val="FF0000"/>
          <w:sz w:val="21"/>
          <w:szCs w:val="21"/>
          <w:lang w:val="en-US"/>
        </w:rPr>
        <w:t>重要提醒：提前办理护照！参加学生众多，整个团队5月就开始签证。</w:t>
      </w:r>
    </w:p>
    <w:p w14:paraId="443210E1">
      <w:pPr>
        <w:keepNext w:val="0"/>
        <w:keepLines w:val="0"/>
        <w:pageBreakBefore w:val="0"/>
        <w:kinsoku/>
        <w:wordWrap/>
        <w:overflowPunct/>
        <w:topLinePunct w:val="0"/>
        <w:bidi w:val="0"/>
        <w:snapToGrid/>
        <w:spacing w:line="24" w:lineRule="atLeast"/>
        <w:textAlignment w:val="auto"/>
        <w:rPr>
          <w:rFonts w:ascii="宋体" w:hAnsi="宋体" w:eastAsia="宋体"/>
          <w:color w:val="000000" w:themeColor="text1"/>
          <w:szCs w:val="21"/>
          <w14:textFill>
            <w14:solidFill>
              <w14:schemeClr w14:val="tx1"/>
            </w14:solidFill>
          </w14:textFill>
        </w:rPr>
      </w:pPr>
    </w:p>
    <w:p w14:paraId="4FBE5FB4">
      <w:pPr>
        <w:pStyle w:val="4"/>
        <w:keepNext w:val="0"/>
        <w:keepLines w:val="0"/>
        <w:pageBreakBefore w:val="0"/>
        <w:kinsoku/>
        <w:wordWrap/>
        <w:overflowPunct/>
        <w:topLinePunct w:val="0"/>
        <w:bidi w:val="0"/>
        <w:snapToGrid/>
        <w:spacing w:line="24" w:lineRule="atLeast"/>
        <w:ind w:left="0"/>
        <w:textAlignment w:val="auto"/>
        <w:rPr>
          <w:rFonts w:eastAsia="宋体"/>
          <w:sz w:val="21"/>
          <w:szCs w:val="21"/>
        </w:rPr>
      </w:pPr>
      <w:r>
        <w:rPr>
          <w:rFonts w:hint="eastAsia" w:eastAsia="宋体"/>
          <w:sz w:val="21"/>
          <w:szCs w:val="21"/>
        </w:rPr>
        <w:t>更多项目素材（宣讲视频），可点击下方链接查看</w:t>
      </w:r>
    </w:p>
    <w:p w14:paraId="556A5FAB">
      <w:pPr>
        <w:pStyle w:val="4"/>
        <w:keepNext w:val="0"/>
        <w:keepLines w:val="0"/>
        <w:pageBreakBefore w:val="0"/>
        <w:kinsoku/>
        <w:wordWrap/>
        <w:overflowPunct/>
        <w:topLinePunct w:val="0"/>
        <w:bidi w:val="0"/>
        <w:snapToGrid/>
        <w:spacing w:line="24" w:lineRule="atLeast"/>
        <w:ind w:left="0"/>
        <w:textAlignment w:val="auto"/>
        <w:rPr>
          <w:rFonts w:eastAsia="宋体"/>
          <w:sz w:val="21"/>
          <w:szCs w:val="21"/>
        </w:rPr>
      </w:pPr>
      <w:r>
        <w:fldChar w:fldCharType="begin"/>
      </w:r>
      <w:r>
        <w:instrText xml:space="preserve"> HYPERLINK "https://pan.baidu.com/s/1OYDt5UifwDijAhB6ZiPIAQ?pwd=jajb" </w:instrText>
      </w:r>
      <w:r>
        <w:fldChar w:fldCharType="separate"/>
      </w:r>
      <w:r>
        <w:rPr>
          <w:rFonts w:hint="eastAsia" w:eastAsia="宋体"/>
          <w:spacing w:val="-2"/>
          <w:sz w:val="21"/>
          <w:szCs w:val="21"/>
          <w:lang w:val="en-US"/>
        </w:rPr>
        <w:t>https://pan.baidu.com/s/1OYDt5UifwDijAhB6ZiPIAQ?pwd=jajb</w:t>
      </w:r>
      <w:r>
        <w:rPr>
          <w:rFonts w:hint="eastAsia" w:eastAsia="宋体"/>
          <w:spacing w:val="-2"/>
          <w:sz w:val="21"/>
          <w:szCs w:val="21"/>
          <w:lang w:val="en-US"/>
        </w:rPr>
        <w:fldChar w:fldCharType="end"/>
      </w:r>
    </w:p>
    <w:p w14:paraId="6CE516CF">
      <w:pPr>
        <w:pStyle w:val="4"/>
        <w:keepNext w:val="0"/>
        <w:keepLines w:val="0"/>
        <w:pageBreakBefore w:val="0"/>
        <w:kinsoku/>
        <w:wordWrap/>
        <w:overflowPunct/>
        <w:topLinePunct w:val="0"/>
        <w:bidi w:val="0"/>
        <w:snapToGrid/>
        <w:spacing w:line="24" w:lineRule="atLeast"/>
        <w:ind w:left="0"/>
        <w:textAlignment w:val="auto"/>
        <w:rPr>
          <w:rFonts w:eastAsia="宋体"/>
          <w:sz w:val="21"/>
          <w:szCs w:val="21"/>
        </w:rPr>
      </w:pPr>
    </w:p>
    <w:p w14:paraId="2BA8EE6C">
      <w:pPr>
        <w:pStyle w:val="14"/>
        <w:keepNext w:val="0"/>
        <w:keepLines w:val="0"/>
        <w:pageBreakBefore w:val="0"/>
        <w:kinsoku/>
        <w:wordWrap/>
        <w:overflowPunct/>
        <w:topLinePunct w:val="0"/>
        <w:bidi w:val="0"/>
        <w:snapToGrid/>
        <w:spacing w:line="24" w:lineRule="atLeast"/>
        <w:jc w:val="both"/>
        <w:textAlignment w:val="auto"/>
        <w:rPr>
          <w:rFonts w:hint="eastAsia" w:eastAsia="宋体"/>
          <w:bCs/>
          <w:color w:val="000000" w:themeColor="text1"/>
          <w:sz w:val="21"/>
          <w:szCs w:val="21"/>
          <w14:textFill>
            <w14:solidFill>
              <w14:schemeClr w14:val="tx1"/>
            </w14:solidFill>
          </w14:textFill>
        </w:rPr>
      </w:pPr>
      <w:r>
        <w:rPr>
          <w:rFonts w:hint="eastAsia" w:eastAsia="宋体"/>
          <w:b/>
          <w:bCs w:val="0"/>
          <w:color w:val="000000" w:themeColor="text1"/>
          <w:sz w:val="21"/>
          <w:szCs w:val="21"/>
          <w14:textFill>
            <w14:solidFill>
              <w14:schemeClr w14:val="tx1"/>
            </w14:solidFill>
          </w14:textFill>
        </w:rPr>
        <w:t>独特优势：</w:t>
      </w:r>
      <w:r>
        <w:rPr>
          <w:rFonts w:hint="eastAsia" w:eastAsia="宋体"/>
          <w:bCs/>
          <w:color w:val="000000" w:themeColor="text1"/>
          <w:sz w:val="21"/>
          <w:szCs w:val="21"/>
          <w14:textFill>
            <w14:solidFill>
              <w14:schemeClr w14:val="tx1"/>
            </w14:solidFill>
          </w14:textFill>
        </w:rPr>
        <w:t>由牛津大学医学院直属部门直接组织管理，课程沿用牛津大学本地学生的教学体系和架构。专家教授将提前了解参与学生的专业知识水平，对课程方向和难度进行动态调整。获得牛津大学医学院的官方证书和医学院官方系统注册权，从而获得牛津大学网络课程访问权限和校内课程资源。牛津大学原汁原味的课程体系和获得学校官方系统权限是官方项目的最高体现。项目对学生的整个职业生涯起到引导和启发的教育，是书本上学不到的知识和技能！</w:t>
      </w:r>
    </w:p>
    <w:p w14:paraId="0ACF7C61">
      <w:pPr>
        <w:pStyle w:val="14"/>
        <w:keepNext w:val="0"/>
        <w:keepLines w:val="0"/>
        <w:pageBreakBefore w:val="0"/>
        <w:kinsoku/>
        <w:wordWrap/>
        <w:overflowPunct/>
        <w:topLinePunct w:val="0"/>
        <w:bidi w:val="0"/>
        <w:snapToGrid/>
        <w:spacing w:line="24" w:lineRule="atLeast"/>
        <w:jc w:val="both"/>
        <w:textAlignment w:val="auto"/>
        <w:rPr>
          <w:rFonts w:hint="eastAsia" w:eastAsia="宋体"/>
          <w:bCs/>
          <w:color w:val="000000" w:themeColor="text1"/>
          <w:sz w:val="21"/>
          <w:szCs w:val="21"/>
          <w14:textFill>
            <w14:solidFill>
              <w14:schemeClr w14:val="tx1"/>
            </w14:solidFill>
          </w14:textFill>
        </w:rPr>
      </w:pPr>
    </w:p>
    <w:p w14:paraId="347911CB">
      <w:pPr>
        <w:pStyle w:val="14"/>
        <w:keepNext w:val="0"/>
        <w:keepLines w:val="0"/>
        <w:pageBreakBefore w:val="0"/>
        <w:kinsoku/>
        <w:wordWrap/>
        <w:overflowPunct/>
        <w:topLinePunct w:val="0"/>
        <w:bidi w:val="0"/>
        <w:snapToGrid/>
        <w:spacing w:line="24" w:lineRule="atLeast"/>
        <w:jc w:val="both"/>
        <w:textAlignment w:val="auto"/>
        <w:rPr>
          <w:rFonts w:hint="eastAsia" w:eastAsia="宋体"/>
          <w:b/>
          <w:bCs w:val="0"/>
          <w:color w:val="000000" w:themeColor="text1"/>
          <w:sz w:val="21"/>
          <w:szCs w:val="21"/>
          <w:lang w:val="en-US" w:eastAsia="zh-CN"/>
          <w14:textFill>
            <w14:solidFill>
              <w14:schemeClr w14:val="tx1"/>
            </w14:solidFill>
          </w14:textFill>
        </w:rPr>
      </w:pPr>
      <w:r>
        <w:rPr>
          <w:rFonts w:hint="eastAsia" w:eastAsia="宋体"/>
          <w:b/>
          <w:bCs w:val="0"/>
          <w:color w:val="000000" w:themeColor="text1"/>
          <w:sz w:val="21"/>
          <w:szCs w:val="21"/>
          <w:lang w:val="en-US" w:eastAsia="zh-CN"/>
          <w14:textFill>
            <w14:solidFill>
              <w14:schemeClr w14:val="tx1"/>
            </w14:solidFill>
          </w14:textFill>
        </w:rPr>
        <w:t>一、学校简介</w:t>
      </w:r>
    </w:p>
    <w:p w14:paraId="7F4C5AD3">
      <w:pPr>
        <w:keepNext w:val="0"/>
        <w:keepLines w:val="0"/>
        <w:pageBreakBefore w:val="0"/>
        <w:kinsoku/>
        <w:wordWrap/>
        <w:overflowPunct/>
        <w:topLinePunct w:val="0"/>
        <w:bidi w:val="0"/>
        <w:snapToGrid/>
        <w:spacing w:line="24" w:lineRule="atLeast"/>
        <w:jc w:val="left"/>
        <w:textAlignment w:val="auto"/>
        <w:rPr>
          <w:rFonts w:ascii="宋体" w:hAnsi="宋体" w:eastAsia="宋体"/>
          <w:szCs w:val="21"/>
          <w:lang w:val="en-US"/>
        </w:rPr>
      </w:pPr>
      <w:r>
        <w:rPr>
          <w:rFonts w:hint="eastAsia" w:ascii="宋体" w:hAnsi="宋体" w:eastAsia="宋体"/>
          <w:color w:val="000000" w:themeColor="text1"/>
          <w:szCs w:val="21"/>
          <w14:textFill>
            <w14:solidFill>
              <w14:schemeClr w14:val="tx1"/>
            </w14:solidFill>
          </w14:textFill>
        </w:rPr>
        <w:t>牛津大学——英语世界中最古老的大学,距今已有900多年历史，已连续</w:t>
      </w:r>
      <w:r>
        <w:rPr>
          <w:rFonts w:hint="eastAsia" w:ascii="宋体" w:hAnsi="宋体" w:eastAsia="宋体"/>
          <w:color w:val="000000" w:themeColor="text1"/>
          <w:szCs w:val="21"/>
          <w:lang w:val="en-US" w:eastAsia="zh-CN"/>
          <w14:textFill>
            <w14:solidFill>
              <w14:schemeClr w14:val="tx1"/>
            </w14:solidFill>
          </w14:textFill>
        </w:rPr>
        <w:t>十</w:t>
      </w:r>
      <w:r>
        <w:rPr>
          <w:rFonts w:hint="eastAsia" w:ascii="宋体" w:hAnsi="宋体" w:eastAsia="宋体"/>
          <w:color w:val="000000" w:themeColor="text1"/>
          <w:szCs w:val="21"/>
          <w14:textFill>
            <w14:solidFill>
              <w14:schemeClr w14:val="tx1"/>
            </w14:solidFill>
          </w14:textFill>
        </w:rPr>
        <w:t>年在泰晤士高等教育世界大学排名中位列世界第一。</w:t>
      </w:r>
      <w:r>
        <w:rPr>
          <w:rFonts w:hint="eastAsia" w:ascii="宋体" w:hAnsi="宋体" w:eastAsia="宋体"/>
          <w:b/>
          <w:szCs w:val="21"/>
          <w:lang w:val="en-US"/>
        </w:rPr>
        <w:t>牛津大学药学专业</w:t>
      </w:r>
      <w:r>
        <w:rPr>
          <w:rFonts w:hint="eastAsia" w:ascii="宋体" w:hAnsi="宋体" w:eastAsia="宋体"/>
          <w:szCs w:val="21"/>
          <w:lang w:val="en-US"/>
        </w:rPr>
        <w:t>在</w:t>
      </w:r>
      <w:r>
        <w:rPr>
          <w:rFonts w:ascii="宋体" w:hAnsi="宋体" w:eastAsia="宋体"/>
          <w:szCs w:val="21"/>
          <w:lang w:val="en-US"/>
        </w:rPr>
        <w:t>2019-2021 QS排名</w:t>
      </w:r>
      <w:r>
        <w:rPr>
          <w:rFonts w:hint="eastAsia" w:ascii="宋体" w:hAnsi="宋体" w:eastAsia="宋体"/>
          <w:szCs w:val="21"/>
          <w:lang w:val="en-US"/>
        </w:rPr>
        <w:t>荣膺世界第一</w:t>
      </w:r>
      <w:r>
        <w:rPr>
          <w:rFonts w:hint="eastAsia" w:ascii="宋体" w:hAnsi="宋体" w:eastAsia="宋体"/>
          <w:szCs w:val="21"/>
        </w:rPr>
        <w:t>，2025</w:t>
      </w:r>
      <w:r>
        <w:rPr>
          <w:rFonts w:hint="eastAsia" w:ascii="宋体" w:hAnsi="宋体" w:eastAsia="宋体"/>
          <w:szCs w:val="21"/>
          <w:lang w:val="en-US"/>
        </w:rPr>
        <w:t>年</w:t>
      </w:r>
      <w:r>
        <w:rPr>
          <w:rFonts w:hint="eastAsia" w:ascii="宋体" w:hAnsi="宋体" w:eastAsia="宋体"/>
          <w:szCs w:val="21"/>
        </w:rPr>
        <w:t>排名世界第二</w:t>
      </w:r>
      <w:r>
        <w:rPr>
          <w:rFonts w:hint="eastAsia" w:ascii="宋体" w:hAnsi="宋体" w:eastAsia="宋体"/>
          <w:szCs w:val="21"/>
          <w:lang w:val="en-US"/>
        </w:rPr>
        <w:t>。牛津大学是全球最大的药品研发地，也是青霉素发明之地。牛津大学药理学系隶属于大学医学部的临床前科学系，致力于基础生命科学研究、医学和生物医学专业的本科、研究生教学以及培养。该系拥有约</w:t>
      </w:r>
      <w:r>
        <w:rPr>
          <w:rFonts w:ascii="宋体" w:hAnsi="宋体" w:eastAsia="宋体"/>
          <w:szCs w:val="21"/>
          <w:lang w:val="en-US"/>
        </w:rPr>
        <w:t>220名研究人员和一流的设施，研究重点包括细胞信号传导，心血管药理学，离子通道以及分子药理学和神经药理学。相应领域的许多研究成果在国际药理界起着领导作用。</w:t>
      </w:r>
    </w:p>
    <w:p w14:paraId="6E86A670">
      <w:pPr>
        <w:keepNext w:val="0"/>
        <w:keepLines w:val="0"/>
        <w:pageBreakBefore w:val="0"/>
        <w:kinsoku/>
        <w:wordWrap/>
        <w:overflowPunct/>
        <w:topLinePunct w:val="0"/>
        <w:bidi w:val="0"/>
        <w:snapToGrid/>
        <w:spacing w:before="0" w:beforeAutospacing="0" w:after="0" w:afterAutospacing="0" w:line="24" w:lineRule="atLeast"/>
        <w:textAlignment w:val="auto"/>
        <w:rPr>
          <w:rFonts w:hint="eastAsia" w:ascii="宋体" w:hAnsi="宋体" w:eastAsia="宋体" w:cs="宋体"/>
          <w:b/>
          <w:bCs/>
          <w:color w:val="1F2225"/>
          <w:sz w:val="21"/>
          <w:szCs w:val="21"/>
          <w:lang w:eastAsia="zh-CN"/>
        </w:rPr>
      </w:pPr>
    </w:p>
    <w:p w14:paraId="7E015508">
      <w:pPr>
        <w:pStyle w:val="14"/>
        <w:keepNext w:val="0"/>
        <w:keepLines w:val="0"/>
        <w:pageBreakBefore w:val="0"/>
        <w:kinsoku/>
        <w:wordWrap/>
        <w:overflowPunct/>
        <w:topLinePunct w:val="0"/>
        <w:bidi w:val="0"/>
        <w:snapToGrid/>
        <w:spacing w:line="24" w:lineRule="atLeast"/>
        <w:jc w:val="both"/>
        <w:textAlignment w:val="auto"/>
        <w:rPr>
          <w:rFonts w:hint="eastAsia" w:eastAsia="宋体"/>
          <w:b/>
          <w:bCs/>
          <w:color w:val="000000" w:themeColor="text1"/>
          <w:sz w:val="21"/>
          <w:szCs w:val="21"/>
          <w:lang w:val="en-US" w:eastAsia="zh-CN"/>
          <w14:textFill>
            <w14:solidFill>
              <w14:schemeClr w14:val="tx1"/>
            </w14:solidFill>
          </w14:textFill>
        </w:rPr>
      </w:pPr>
      <w:r>
        <w:rPr>
          <w:rFonts w:hint="eastAsia" w:eastAsia="宋体"/>
          <w:b/>
          <w:bCs/>
          <w:color w:val="000000" w:themeColor="text1"/>
          <w:sz w:val="21"/>
          <w:szCs w:val="21"/>
          <w:lang w:val="en-US" w:eastAsia="zh-CN"/>
          <w14:textFill>
            <w14:solidFill>
              <w14:schemeClr w14:val="tx1"/>
            </w14:solidFill>
          </w14:textFill>
        </w:rPr>
        <w:t>二、城市介绍</w:t>
      </w:r>
    </w:p>
    <w:p w14:paraId="468225E2">
      <w:pPr>
        <w:pStyle w:val="14"/>
        <w:keepNext w:val="0"/>
        <w:keepLines w:val="0"/>
        <w:pageBreakBefore w:val="0"/>
        <w:kinsoku/>
        <w:wordWrap/>
        <w:overflowPunct/>
        <w:topLinePunct w:val="0"/>
        <w:bidi w:val="0"/>
        <w:snapToGrid/>
        <w:spacing w:line="24" w:lineRule="atLeast"/>
        <w:jc w:val="both"/>
        <w:textAlignment w:val="auto"/>
        <w:rPr>
          <w:rFonts w:hint="eastAsia" w:eastAsia="宋体"/>
          <w:b/>
          <w:bCs/>
          <w:color w:val="000000" w:themeColor="text1"/>
          <w:sz w:val="21"/>
          <w:szCs w:val="21"/>
          <w:lang w:val="en-US" w:eastAsia="zh-CN"/>
          <w14:textFill>
            <w14:solidFill>
              <w14:schemeClr w14:val="tx1"/>
            </w14:solidFill>
          </w14:textFill>
        </w:rPr>
      </w:pPr>
      <w:r>
        <w:rPr>
          <w:rFonts w:hint="eastAsia" w:eastAsia="宋体"/>
          <w:b/>
          <w:bCs/>
          <w:color w:val="000000" w:themeColor="text1"/>
          <w:sz w:val="21"/>
          <w:szCs w:val="21"/>
          <w:lang w:val="en-US" w:eastAsia="zh-CN"/>
          <w14:textFill>
            <w14:solidFill>
              <w14:schemeClr w14:val="tx1"/>
            </w14:solidFill>
          </w14:textFill>
        </w:rPr>
        <w:t>牛津</w:t>
      </w:r>
    </w:p>
    <w:p w14:paraId="1581DABC">
      <w:pPr>
        <w:pStyle w:val="14"/>
        <w:keepNext w:val="0"/>
        <w:keepLines w:val="0"/>
        <w:pageBreakBefore w:val="0"/>
        <w:kinsoku/>
        <w:wordWrap/>
        <w:overflowPunct/>
        <w:topLinePunct w:val="0"/>
        <w:bidi w:val="0"/>
        <w:snapToGrid/>
        <w:spacing w:line="24" w:lineRule="atLeast"/>
        <w:jc w:val="both"/>
        <w:textAlignment w:val="auto"/>
        <w:rPr>
          <w:rFonts w:hint="eastAsia" w:eastAsia="宋体"/>
          <w:b w:val="0"/>
          <w:bCs/>
          <w:color w:val="000000" w:themeColor="text1"/>
          <w:sz w:val="21"/>
          <w:szCs w:val="21"/>
          <w:lang w:val="en-US" w:eastAsia="zh-CN"/>
          <w14:textFill>
            <w14:solidFill>
              <w14:schemeClr w14:val="tx1"/>
            </w14:solidFill>
          </w14:textFill>
        </w:rPr>
      </w:pPr>
      <w:r>
        <w:rPr>
          <w:rFonts w:hint="eastAsia" w:eastAsia="宋体"/>
          <w:b w:val="0"/>
          <w:bCs/>
          <w:color w:val="000000" w:themeColor="text1"/>
          <w:sz w:val="21"/>
          <w:szCs w:val="21"/>
          <w:lang w:val="en-US" w:eastAsia="zh-CN"/>
          <w14:textFill>
            <w14:solidFill>
              <w14:schemeClr w14:val="tx1"/>
            </w14:solidFill>
          </w14:textFill>
        </w:rPr>
        <w:t>牛津是英国历史最悠久的大学城之一，以牛津大学及其学院体系闻名于世。城市整体规模紧凑，以学院建筑群为核心，融合哥特式、新古典主义与维多利亚时期建筑风格，形成独特的学术景观。拉德克利夫图书馆、博德利图书馆及基督堂学院等地标构成典型的“学院制城市”格局。</w:t>
      </w:r>
    </w:p>
    <w:p w14:paraId="0B4292FC">
      <w:pPr>
        <w:pStyle w:val="14"/>
        <w:keepNext w:val="0"/>
        <w:keepLines w:val="0"/>
        <w:pageBreakBefore w:val="0"/>
        <w:kinsoku/>
        <w:wordWrap/>
        <w:overflowPunct/>
        <w:topLinePunct w:val="0"/>
        <w:bidi w:val="0"/>
        <w:snapToGrid/>
        <w:spacing w:line="24" w:lineRule="atLeast"/>
        <w:jc w:val="both"/>
        <w:textAlignment w:val="auto"/>
        <w:rPr>
          <w:rFonts w:hint="eastAsia" w:eastAsia="宋体"/>
          <w:b w:val="0"/>
          <w:bCs/>
          <w:color w:val="000000" w:themeColor="text1"/>
          <w:sz w:val="21"/>
          <w:szCs w:val="21"/>
          <w:lang w:val="en-US" w:eastAsia="zh-CN"/>
          <w14:textFill>
            <w14:solidFill>
              <w14:schemeClr w14:val="tx1"/>
            </w14:solidFill>
          </w14:textFill>
        </w:rPr>
      </w:pPr>
      <w:r>
        <w:rPr>
          <w:rFonts w:hint="eastAsia" w:eastAsia="宋体"/>
          <w:b w:val="0"/>
          <w:bCs/>
          <w:color w:val="000000" w:themeColor="text1"/>
          <w:sz w:val="21"/>
          <w:szCs w:val="21"/>
          <w:lang w:val="en-US" w:eastAsia="zh-CN"/>
          <w14:textFill>
            <w14:solidFill>
              <w14:schemeClr w14:val="tx1"/>
            </w14:solidFill>
          </w14:textFill>
        </w:rPr>
        <w:t>作为英国重要的学术与出版中心，牛津长期保持浓厚的知识传统与研究氛围。与此同时，牛津亦是多部文学与影视作品的灵感来源与取景地，包括《哈利·波特》、《指环王》、《纳尼亚传奇》与《爱丽丝梦游仙境》等，使城市兼具历史文化厚度与现代流行文化影响力。</w:t>
      </w:r>
    </w:p>
    <w:p w14:paraId="76E30E70">
      <w:pPr>
        <w:pStyle w:val="14"/>
        <w:keepNext w:val="0"/>
        <w:keepLines w:val="0"/>
        <w:pageBreakBefore w:val="0"/>
        <w:kinsoku/>
        <w:wordWrap/>
        <w:overflowPunct/>
        <w:topLinePunct w:val="0"/>
        <w:bidi w:val="0"/>
        <w:snapToGrid/>
        <w:spacing w:line="24" w:lineRule="atLeast"/>
        <w:jc w:val="both"/>
        <w:textAlignment w:val="auto"/>
        <w:rPr>
          <w:rFonts w:hint="eastAsia" w:eastAsia="宋体"/>
          <w:b/>
          <w:bCs w:val="0"/>
          <w:color w:val="000000" w:themeColor="text1"/>
          <w:sz w:val="21"/>
          <w:szCs w:val="21"/>
          <w:lang w:val="en-US" w:eastAsia="zh-CN"/>
          <w14:textFill>
            <w14:solidFill>
              <w14:schemeClr w14:val="tx1"/>
            </w14:solidFill>
          </w14:textFill>
        </w:rPr>
      </w:pPr>
      <w:r>
        <w:rPr>
          <w:rFonts w:hint="eastAsia" w:eastAsia="宋体"/>
          <w:b/>
          <w:bCs w:val="0"/>
          <w:color w:val="000000" w:themeColor="text1"/>
          <w:sz w:val="21"/>
          <w:szCs w:val="21"/>
          <w:lang w:val="en-US" w:eastAsia="zh-CN"/>
          <w14:textFill>
            <w14:solidFill>
              <w14:schemeClr w14:val="tx1"/>
            </w14:solidFill>
          </w14:textFill>
        </w:rPr>
        <w:t>伦敦</w:t>
      </w:r>
    </w:p>
    <w:p w14:paraId="5444AC1C">
      <w:pPr>
        <w:pStyle w:val="14"/>
        <w:keepNext w:val="0"/>
        <w:keepLines w:val="0"/>
        <w:pageBreakBefore w:val="0"/>
        <w:kinsoku/>
        <w:wordWrap/>
        <w:overflowPunct/>
        <w:topLinePunct w:val="0"/>
        <w:bidi w:val="0"/>
        <w:snapToGrid/>
        <w:spacing w:line="24" w:lineRule="atLeast"/>
        <w:jc w:val="both"/>
        <w:textAlignment w:val="auto"/>
        <w:rPr>
          <w:rFonts w:hint="eastAsia" w:eastAsia="宋体"/>
          <w:b w:val="0"/>
          <w:bCs/>
          <w:color w:val="000000" w:themeColor="text1"/>
          <w:sz w:val="21"/>
          <w:szCs w:val="21"/>
          <w:lang w:val="en-US" w:eastAsia="zh-CN"/>
          <w14:textFill>
            <w14:solidFill>
              <w14:schemeClr w14:val="tx1"/>
            </w14:solidFill>
          </w14:textFill>
        </w:rPr>
      </w:pPr>
      <w:r>
        <w:rPr>
          <w:rFonts w:hint="eastAsia" w:eastAsia="宋体"/>
          <w:b w:val="0"/>
          <w:bCs/>
          <w:color w:val="000000" w:themeColor="text1"/>
          <w:sz w:val="21"/>
          <w:szCs w:val="21"/>
          <w:lang w:val="en-US" w:eastAsia="zh-CN"/>
          <w14:textFill>
            <w14:solidFill>
              <w14:schemeClr w14:val="tx1"/>
            </w14:solidFill>
          </w14:textFill>
        </w:rPr>
        <w:t>伦敦是英国首都及国家政治、经济与文化中心，也是全球最具影响力的国际都市之一。伦敦是全世界博物馆、图书馆、电影院、戏剧院、体育场馆数量最多的城市。拥有大本钟、威斯特敏斯特宫、伦敦眼、白金汉宫等标志性建筑；拥有大英博物馆、国家美术馆等世界级艺术机构；西区剧院是音乐剧发源地，常年上演《悲惨世界》《歌剧魅影》等经典剧目。它古老而现代，优雅而奔放，传统而创新，彰显着其独有的魅力。</w:t>
      </w:r>
    </w:p>
    <w:p w14:paraId="167622D1">
      <w:pPr>
        <w:keepNext w:val="0"/>
        <w:keepLines w:val="0"/>
        <w:pageBreakBefore w:val="0"/>
        <w:kinsoku/>
        <w:wordWrap/>
        <w:overflowPunct/>
        <w:topLinePunct w:val="0"/>
        <w:bidi w:val="0"/>
        <w:snapToGrid/>
        <w:spacing w:line="24" w:lineRule="atLeast"/>
        <w:textAlignment w:val="auto"/>
        <w:rPr>
          <w:rFonts w:ascii="宋体" w:hAnsi="宋体" w:eastAsia="宋体"/>
          <w:szCs w:val="21"/>
          <w:lang w:val="en-US"/>
        </w:rPr>
      </w:pPr>
      <w:bookmarkStart w:id="0" w:name="_Hlk208117933"/>
    </w:p>
    <w:bookmarkEnd w:id="0"/>
    <w:p w14:paraId="5B4C66A6">
      <w:pPr>
        <w:keepNext w:val="0"/>
        <w:keepLines w:val="0"/>
        <w:pageBreakBefore w:val="0"/>
        <w:kinsoku/>
        <w:wordWrap/>
        <w:overflowPunct/>
        <w:topLinePunct w:val="0"/>
        <w:bidi w:val="0"/>
        <w:snapToGrid/>
        <w:spacing w:line="24" w:lineRule="atLeast"/>
        <w:jc w:val="left"/>
        <w:textAlignment w:val="auto"/>
        <w:rPr>
          <w:rFonts w:ascii="宋体" w:hAnsi="宋体" w:eastAsia="宋体"/>
          <w:b/>
          <w:bCs/>
          <w:szCs w:val="21"/>
        </w:rPr>
      </w:pPr>
      <w:r>
        <w:rPr>
          <w:rFonts w:hint="eastAsia" w:ascii="宋体" w:hAnsi="宋体" w:eastAsia="宋体"/>
          <w:b/>
          <w:bCs/>
          <w:szCs w:val="21"/>
          <w:lang w:val="en-US" w:eastAsia="zh-CN"/>
        </w:rPr>
        <w:t>三</w:t>
      </w:r>
      <w:r>
        <w:rPr>
          <w:rFonts w:hint="eastAsia" w:ascii="宋体" w:hAnsi="宋体" w:eastAsia="宋体"/>
          <w:b/>
          <w:bCs/>
          <w:szCs w:val="21"/>
        </w:rPr>
        <w:t>、项目优势</w:t>
      </w:r>
    </w:p>
    <w:p w14:paraId="466CEE69">
      <w:pPr>
        <w:pStyle w:val="14"/>
        <w:keepNext w:val="0"/>
        <w:keepLines w:val="0"/>
        <w:pageBreakBefore w:val="0"/>
        <w:numPr>
          <w:ilvl w:val="0"/>
          <w:numId w:val="1"/>
        </w:numPr>
        <w:kinsoku/>
        <w:wordWrap/>
        <w:overflowPunct/>
        <w:topLinePunct w:val="0"/>
        <w:bidi w:val="0"/>
        <w:snapToGrid/>
        <w:spacing w:line="24" w:lineRule="atLeast"/>
        <w:ind w:left="420" w:leftChars="0" w:hanging="420" w:hangingChars="200"/>
        <w:jc w:val="both"/>
        <w:textAlignment w:val="auto"/>
        <w:rPr>
          <w:rFonts w:eastAsia="宋体"/>
          <w:color w:val="000000" w:themeColor="text1"/>
          <w:sz w:val="21"/>
          <w:szCs w:val="21"/>
          <w14:textFill>
            <w14:solidFill>
              <w14:schemeClr w14:val="tx1"/>
            </w14:solidFill>
          </w14:textFill>
        </w:rPr>
      </w:pPr>
      <w:r>
        <w:rPr>
          <w:rFonts w:hint="eastAsia" w:eastAsia="宋体"/>
          <w:b/>
          <w:bCs/>
          <w:color w:val="000000" w:themeColor="text1"/>
          <w:sz w:val="21"/>
          <w:szCs w:val="21"/>
          <w:lang w:val="en-GB"/>
          <w14:textFill>
            <w14:solidFill>
              <w14:schemeClr w14:val="tx1"/>
            </w14:solidFill>
          </w14:textFill>
        </w:rPr>
        <w:t>因材施教：</w:t>
      </w:r>
      <w:r>
        <w:rPr>
          <w:rFonts w:eastAsia="宋体"/>
          <w:color w:val="000000" w:themeColor="text1"/>
          <w:sz w:val="21"/>
          <w:szCs w:val="21"/>
          <w14:textFill>
            <w14:solidFill>
              <w14:schemeClr w14:val="tx1"/>
            </w14:solidFill>
          </w14:textFill>
        </w:rPr>
        <w:t>无论是大一学生还是研究生都能根据自身背景获得相应的学习深度与成长空间</w:t>
      </w:r>
      <w:r>
        <w:rPr>
          <w:rFonts w:hint="eastAsia" w:eastAsia="宋体"/>
          <w:color w:val="000000" w:themeColor="text1"/>
          <w:sz w:val="21"/>
          <w:szCs w:val="21"/>
          <w14:textFill>
            <w14:solidFill>
              <w14:schemeClr w14:val="tx1"/>
            </w14:solidFill>
          </w14:textFill>
        </w:rPr>
        <w:t>，</w:t>
      </w:r>
      <w:r>
        <w:rPr>
          <w:rFonts w:hint="eastAsia" w:eastAsia="宋体"/>
          <w:bCs/>
          <w:color w:val="000000" w:themeColor="text1"/>
          <w:sz w:val="21"/>
          <w:szCs w:val="21"/>
          <w:lang w:val="en-GB"/>
          <w14:textFill>
            <w14:solidFill>
              <w14:schemeClr w14:val="tx1"/>
            </w14:solidFill>
          </w14:textFill>
        </w:rPr>
        <w:t>由牛津大学的知名教授和附属医院医生授课，将前沿、重要的知识点根据听课学生的水平进行动态调整，从而使各年级和知识水平学生在课堂上都能理解，课堂配备中文助教老师，辅导学生的听课和作业完成质量，确保学生顺利完成项目；</w:t>
      </w:r>
    </w:p>
    <w:p w14:paraId="5C02FAAC">
      <w:pPr>
        <w:pStyle w:val="14"/>
        <w:keepNext w:val="0"/>
        <w:keepLines w:val="0"/>
        <w:pageBreakBefore w:val="0"/>
        <w:numPr>
          <w:ilvl w:val="0"/>
          <w:numId w:val="1"/>
        </w:numPr>
        <w:kinsoku/>
        <w:wordWrap/>
        <w:overflowPunct/>
        <w:topLinePunct w:val="0"/>
        <w:bidi w:val="0"/>
        <w:snapToGrid/>
        <w:spacing w:afterAutospacing="0" w:line="24" w:lineRule="atLeast"/>
        <w:ind w:left="420" w:leftChars="0" w:hanging="420" w:hangingChars="200"/>
        <w:jc w:val="both"/>
        <w:textAlignment w:val="auto"/>
        <w:rPr>
          <w:rFonts w:eastAsia="宋体"/>
          <w:bCs/>
          <w:color w:val="000000" w:themeColor="text1"/>
          <w:sz w:val="21"/>
          <w:szCs w:val="21"/>
          <w:lang w:val="en-GB"/>
          <w14:textFill>
            <w14:solidFill>
              <w14:schemeClr w14:val="tx1"/>
            </w14:solidFill>
          </w14:textFill>
        </w:rPr>
      </w:pPr>
      <w:r>
        <w:rPr>
          <w:rFonts w:hint="eastAsia" w:eastAsia="宋体"/>
          <w:b/>
          <w:bCs/>
          <w:color w:val="000000" w:themeColor="text1"/>
          <w:sz w:val="21"/>
          <w:szCs w:val="21"/>
          <w:lang w:val="en-GB"/>
          <w14:textFill>
            <w14:solidFill>
              <w14:schemeClr w14:val="tx1"/>
            </w14:solidFill>
          </w14:textFill>
        </w:rPr>
        <w:t>医药结合：</w:t>
      </w:r>
      <w:r>
        <w:rPr>
          <w:rFonts w:hint="eastAsia" w:eastAsia="宋体"/>
          <w:bCs/>
          <w:color w:val="000000" w:themeColor="text1"/>
          <w:sz w:val="21"/>
          <w:szCs w:val="21"/>
          <w:lang w:val="en-GB"/>
          <w14:textFill>
            <w14:solidFill>
              <w14:schemeClr w14:val="tx1"/>
            </w14:solidFill>
          </w14:textFill>
        </w:rPr>
        <w:t>项目为药学专业同学提供专业药学课程的同时，还有和医学专业同学共同学习和活动的机会，只有了</w:t>
      </w:r>
      <w:r>
        <w:rPr>
          <w:rFonts w:eastAsia="宋体"/>
          <w:bCs/>
          <w:color w:val="000000" w:themeColor="text1"/>
          <w:sz w:val="21"/>
          <w:szCs w:val="21"/>
          <w:lang w:val="en-GB"/>
          <w14:textFill>
            <w14:solidFill>
              <w14:schemeClr w14:val="tx1"/>
            </w14:solidFill>
          </w14:textFill>
        </w:rPr>
        <w:t>解疾病本质和临床诊疗，才能真正做到“以病为本”地安全、有效、精准</w:t>
      </w:r>
      <w:r>
        <w:rPr>
          <w:rFonts w:hint="eastAsia" w:eastAsia="宋体"/>
          <w:bCs/>
          <w:color w:val="000000" w:themeColor="text1"/>
          <w:sz w:val="21"/>
          <w:szCs w:val="21"/>
          <w:lang w:val="en-GB"/>
          <w14:textFill>
            <w14:solidFill>
              <w14:schemeClr w14:val="tx1"/>
            </w14:solidFill>
          </w14:textFill>
        </w:rPr>
        <w:t>研究和使用药物；</w:t>
      </w:r>
    </w:p>
    <w:p w14:paraId="5BACF5AF">
      <w:pPr>
        <w:pStyle w:val="13"/>
        <w:keepNext w:val="0"/>
        <w:keepLines w:val="0"/>
        <w:pageBreakBefore w:val="0"/>
        <w:numPr>
          <w:ilvl w:val="0"/>
          <w:numId w:val="1"/>
        </w:numPr>
        <w:kinsoku/>
        <w:wordWrap/>
        <w:overflowPunct/>
        <w:topLinePunct w:val="0"/>
        <w:bidi w:val="0"/>
        <w:snapToGrid/>
        <w:spacing w:before="0" w:beforeAutospacing="0" w:line="24" w:lineRule="atLeast"/>
        <w:ind w:left="420" w:leftChars="0" w:hanging="420" w:hangingChars="200"/>
        <w:textAlignment w:val="auto"/>
        <w:rPr>
          <w:rFonts w:cs="宋体"/>
          <w:bCs/>
          <w:color w:val="000000" w:themeColor="text1"/>
          <w:kern w:val="0"/>
          <w:sz w:val="21"/>
          <w:szCs w:val="21"/>
          <w:lang w:val="en-US"/>
          <w14:textFill>
            <w14:solidFill>
              <w14:schemeClr w14:val="tx1"/>
            </w14:solidFill>
          </w14:textFill>
        </w:rPr>
      </w:pPr>
      <w:r>
        <w:rPr>
          <w:rFonts w:hint="eastAsia"/>
          <w:b/>
          <w:bCs/>
          <w:color w:val="000000" w:themeColor="text1"/>
          <w:sz w:val="21"/>
          <w:szCs w:val="21"/>
          <w14:textFill>
            <w14:solidFill>
              <w14:schemeClr w14:val="tx1"/>
            </w14:solidFill>
          </w14:textFill>
        </w:rPr>
        <w:t>双证书：</w:t>
      </w:r>
      <w:r>
        <w:rPr>
          <w:bCs/>
          <w:color w:val="000000" w:themeColor="text1"/>
          <w:sz w:val="21"/>
          <w:szCs w:val="21"/>
          <w14:textFill>
            <w14:solidFill>
              <w14:schemeClr w14:val="tx1"/>
            </w14:solidFill>
          </w14:textFill>
        </w:rPr>
        <w:t>学生</w:t>
      </w:r>
      <w:r>
        <w:rPr>
          <w:rFonts w:hint="eastAsia"/>
          <w:bCs/>
          <w:color w:val="000000" w:themeColor="text1"/>
          <w:sz w:val="21"/>
          <w:szCs w:val="21"/>
          <w14:textFill>
            <w14:solidFill>
              <w14:schemeClr w14:val="tx1"/>
            </w14:solidFill>
          </w14:textFill>
        </w:rPr>
        <w:t>获得牛津大学医学院官方证书外，</w:t>
      </w:r>
      <w:r>
        <w:rPr>
          <w:rFonts w:cs="宋体"/>
          <w:bCs/>
          <w:color w:val="000000" w:themeColor="text1"/>
          <w:kern w:val="0"/>
          <w:sz w:val="21"/>
          <w:szCs w:val="21"/>
          <w:lang w:val="en-US"/>
          <w14:textFill>
            <w14:solidFill>
              <w14:schemeClr w14:val="tx1"/>
            </w14:solidFill>
          </w14:textFill>
        </w:rPr>
        <w:t>牛津医学院将为学生开通牛津大学官方网络课程访问权限，并收获牛津大学网络课程学习证书；</w:t>
      </w:r>
    </w:p>
    <w:p w14:paraId="32C7D875">
      <w:pPr>
        <w:pStyle w:val="14"/>
        <w:keepNext w:val="0"/>
        <w:keepLines w:val="0"/>
        <w:pageBreakBefore w:val="0"/>
        <w:numPr>
          <w:ilvl w:val="0"/>
          <w:numId w:val="1"/>
        </w:numPr>
        <w:kinsoku/>
        <w:wordWrap/>
        <w:overflowPunct/>
        <w:topLinePunct w:val="0"/>
        <w:bidi w:val="0"/>
        <w:snapToGrid/>
        <w:spacing w:line="24" w:lineRule="atLeast"/>
        <w:ind w:left="420" w:leftChars="0" w:hanging="420" w:hangingChars="200"/>
        <w:jc w:val="both"/>
        <w:textAlignment w:val="auto"/>
        <w:rPr>
          <w:rFonts w:eastAsia="宋体"/>
          <w:color w:val="000000" w:themeColor="text1"/>
          <w:sz w:val="21"/>
          <w:szCs w:val="21"/>
          <w14:textFill>
            <w14:solidFill>
              <w14:schemeClr w14:val="tx1"/>
            </w14:solidFill>
          </w14:textFill>
        </w:rPr>
      </w:pPr>
      <w:r>
        <w:rPr>
          <w:rFonts w:hint="eastAsia" w:eastAsia="宋体"/>
          <w:b/>
          <w:bCs/>
          <w:color w:val="000000" w:themeColor="text1"/>
          <w:sz w:val="21"/>
          <w:szCs w:val="21"/>
          <w:lang w:val="en-GB"/>
          <w14:textFill>
            <w14:solidFill>
              <w14:schemeClr w14:val="tx1"/>
            </w14:solidFill>
          </w14:textFill>
        </w:rPr>
        <w:t>学术和趣味兼具</w:t>
      </w:r>
      <w:r>
        <w:rPr>
          <w:rFonts w:hint="eastAsia" w:eastAsia="宋体"/>
          <w:b/>
          <w:bCs/>
          <w:color w:val="000000" w:themeColor="text1"/>
          <w:sz w:val="21"/>
          <w:szCs w:val="21"/>
          <w14:textFill>
            <w14:solidFill>
              <w14:schemeClr w14:val="tx1"/>
            </w14:solidFill>
          </w14:textFill>
        </w:rPr>
        <w:t>：</w:t>
      </w:r>
      <w:r>
        <w:rPr>
          <w:rFonts w:hint="eastAsia" w:eastAsia="宋体"/>
          <w:bCs/>
          <w:color w:val="000000" w:themeColor="text1"/>
          <w:sz w:val="21"/>
          <w:szCs w:val="21"/>
          <w14:textFill>
            <w14:solidFill>
              <w14:schemeClr w14:val="tx1"/>
            </w14:solidFill>
          </w14:textFill>
        </w:rPr>
        <w:t>项目由除了学习药学和医学相关内容，还将安排伦敦城市探索、</w:t>
      </w:r>
      <w:r>
        <w:rPr>
          <w:rFonts w:eastAsia="宋体"/>
          <w:bCs/>
          <w:color w:val="000000" w:themeColor="text1"/>
          <w:sz w:val="21"/>
          <w:szCs w:val="21"/>
          <w14:textFill>
            <w14:solidFill>
              <w14:schemeClr w14:val="tx1"/>
            </w14:solidFill>
          </w14:textFill>
        </w:rPr>
        <w:t>牛津城市游览、G5名校参访、牛津晚宴等组成</w:t>
      </w:r>
      <w:r>
        <w:rPr>
          <w:rFonts w:hint="eastAsia" w:eastAsia="宋体"/>
          <w:bCs/>
          <w:color w:val="000000" w:themeColor="text1"/>
          <w:sz w:val="21"/>
          <w:szCs w:val="21"/>
          <w14:textFill>
            <w14:solidFill>
              <w14:schemeClr w14:val="tx1"/>
            </w14:solidFill>
          </w14:textFill>
        </w:rPr>
        <w:t>。</w:t>
      </w:r>
      <w:r>
        <w:rPr>
          <w:rFonts w:eastAsia="宋体"/>
          <w:bCs/>
          <w:color w:val="000000" w:themeColor="text1"/>
          <w:sz w:val="21"/>
          <w:szCs w:val="21"/>
          <w14:textFill>
            <w14:solidFill>
              <w14:schemeClr w14:val="tx1"/>
            </w14:solidFill>
          </w14:textFill>
        </w:rPr>
        <w:t>项目兼具临床学术、科研技能以及文化体验趣味性；</w:t>
      </w:r>
    </w:p>
    <w:p w14:paraId="3A70F8AF">
      <w:pPr>
        <w:pStyle w:val="14"/>
        <w:keepNext w:val="0"/>
        <w:keepLines w:val="0"/>
        <w:pageBreakBefore w:val="0"/>
        <w:numPr>
          <w:ilvl w:val="0"/>
          <w:numId w:val="1"/>
        </w:numPr>
        <w:kinsoku/>
        <w:wordWrap/>
        <w:overflowPunct/>
        <w:topLinePunct w:val="0"/>
        <w:bidi w:val="0"/>
        <w:snapToGrid/>
        <w:spacing w:line="24" w:lineRule="atLeast"/>
        <w:ind w:left="420" w:leftChars="0" w:hanging="420" w:hangingChars="200"/>
        <w:jc w:val="both"/>
        <w:textAlignment w:val="auto"/>
        <w:rPr>
          <w:rFonts w:eastAsia="宋体"/>
          <w:color w:val="000000" w:themeColor="text1"/>
          <w:sz w:val="21"/>
          <w:szCs w:val="21"/>
          <w14:textFill>
            <w14:solidFill>
              <w14:schemeClr w14:val="tx1"/>
            </w14:solidFill>
          </w14:textFill>
        </w:rPr>
      </w:pPr>
      <w:r>
        <w:rPr>
          <w:rFonts w:hint="eastAsia" w:eastAsia="宋体"/>
          <w:b/>
          <w:bCs/>
          <w:color w:val="000000" w:themeColor="text1"/>
          <w:sz w:val="21"/>
          <w:szCs w:val="21"/>
          <w14:textFill>
            <w14:solidFill>
              <w14:schemeClr w14:val="tx1"/>
            </w14:solidFill>
          </w14:textFill>
        </w:rPr>
        <w:t>超强师资：</w:t>
      </w:r>
      <w:r>
        <w:rPr>
          <w:rFonts w:hint="eastAsia" w:eastAsia="宋体"/>
          <w:color w:val="000000" w:themeColor="text1"/>
          <w:sz w:val="21"/>
          <w:szCs w:val="21"/>
          <w14:textFill>
            <w14:solidFill>
              <w14:schemeClr w14:val="tx1"/>
            </w14:solidFill>
          </w14:textFill>
        </w:rPr>
        <w:t>该项目</w:t>
      </w:r>
      <w:r>
        <w:rPr>
          <w:rFonts w:eastAsia="宋体"/>
          <w:color w:val="1F2225"/>
          <w:sz w:val="21"/>
          <w:szCs w:val="21"/>
        </w:rPr>
        <w:t>授课团队由牛津大学</w:t>
      </w:r>
      <w:r>
        <w:rPr>
          <w:rFonts w:hint="eastAsia" w:eastAsia="宋体"/>
          <w:color w:val="1F2225"/>
          <w:sz w:val="21"/>
          <w:szCs w:val="21"/>
        </w:rPr>
        <w:t>药</w:t>
      </w:r>
      <w:r>
        <w:rPr>
          <w:rFonts w:eastAsia="宋体"/>
          <w:color w:val="1F2225"/>
          <w:sz w:val="21"/>
          <w:szCs w:val="21"/>
        </w:rPr>
        <w:t>学</w:t>
      </w:r>
      <w:r>
        <w:rPr>
          <w:rFonts w:hint="eastAsia" w:eastAsia="宋体"/>
          <w:color w:val="1F2225"/>
          <w:sz w:val="21"/>
          <w:szCs w:val="21"/>
        </w:rPr>
        <w:t>系</w:t>
      </w:r>
      <w:r>
        <w:rPr>
          <w:rFonts w:eastAsia="宋体"/>
          <w:color w:val="1F2225"/>
          <w:sz w:val="21"/>
          <w:szCs w:val="21"/>
        </w:rPr>
        <w:t>教授及前沿科研团队组成，</w:t>
      </w:r>
      <w:r>
        <w:rPr>
          <w:rFonts w:hint="eastAsia" w:eastAsia="宋体"/>
          <w:color w:val="1F2225"/>
          <w:sz w:val="21"/>
          <w:szCs w:val="21"/>
        </w:rPr>
        <w:t>在行业内享有盛誉，</w:t>
      </w:r>
      <w:r>
        <w:rPr>
          <w:rFonts w:eastAsia="宋体"/>
          <w:color w:val="1F2225"/>
          <w:sz w:val="21"/>
          <w:szCs w:val="21"/>
        </w:rPr>
        <w:t>学生将与世界一流的</w:t>
      </w:r>
      <w:r>
        <w:rPr>
          <w:rFonts w:hint="eastAsia" w:eastAsia="宋体"/>
          <w:color w:val="1F2225"/>
          <w:sz w:val="21"/>
          <w:szCs w:val="21"/>
        </w:rPr>
        <w:t>药学系教授</w:t>
      </w:r>
      <w:r>
        <w:rPr>
          <w:rFonts w:eastAsia="宋体"/>
          <w:color w:val="1F2225"/>
          <w:sz w:val="21"/>
          <w:szCs w:val="21"/>
        </w:rPr>
        <w:t>和科研学者面对面交流，直接感受国际顶尖教育与科研氛围；</w:t>
      </w:r>
    </w:p>
    <w:p w14:paraId="15FCBDEB">
      <w:pPr>
        <w:pStyle w:val="14"/>
        <w:keepNext w:val="0"/>
        <w:keepLines w:val="0"/>
        <w:pageBreakBefore w:val="0"/>
        <w:numPr>
          <w:ilvl w:val="0"/>
          <w:numId w:val="1"/>
        </w:numPr>
        <w:kinsoku/>
        <w:wordWrap/>
        <w:overflowPunct/>
        <w:topLinePunct w:val="0"/>
        <w:bidi w:val="0"/>
        <w:snapToGrid/>
        <w:spacing w:line="24" w:lineRule="atLeast"/>
        <w:ind w:left="420" w:leftChars="0" w:hanging="420" w:hangingChars="200"/>
        <w:jc w:val="both"/>
        <w:textAlignment w:val="auto"/>
        <w:rPr>
          <w:rFonts w:eastAsia="宋体"/>
          <w:color w:val="000000" w:themeColor="text1"/>
          <w:sz w:val="21"/>
          <w:szCs w:val="21"/>
          <w14:textFill>
            <w14:solidFill>
              <w14:schemeClr w14:val="tx1"/>
            </w14:solidFill>
          </w14:textFill>
        </w:rPr>
      </w:pPr>
      <w:r>
        <w:rPr>
          <w:rFonts w:hint="eastAsia" w:eastAsia="宋体"/>
          <w:b/>
          <w:bCs/>
          <w:color w:val="000000" w:themeColor="text1"/>
          <w:sz w:val="21"/>
          <w:szCs w:val="21"/>
          <w14:textFill>
            <w14:solidFill>
              <w14:schemeClr w14:val="tx1"/>
            </w14:solidFill>
          </w14:textFill>
        </w:rPr>
        <w:t>科研突出：</w:t>
      </w:r>
      <w:r>
        <w:rPr>
          <w:rFonts w:eastAsia="宋体"/>
          <w:color w:val="1F2225"/>
          <w:sz w:val="21"/>
          <w:szCs w:val="21"/>
        </w:rPr>
        <w:t>课程内容涵盖</w:t>
      </w:r>
      <w:r>
        <w:rPr>
          <w:rFonts w:hint="eastAsia" w:eastAsia="宋体"/>
          <w:color w:val="1F2225"/>
          <w:sz w:val="21"/>
          <w:szCs w:val="21"/>
        </w:rPr>
        <w:t>科研</w:t>
      </w:r>
      <w:r>
        <w:rPr>
          <w:rFonts w:eastAsia="宋体"/>
          <w:color w:val="1F2225"/>
          <w:sz w:val="21"/>
          <w:szCs w:val="21"/>
        </w:rPr>
        <w:t>专题大师课、</w:t>
      </w:r>
      <w:r>
        <w:rPr>
          <w:rFonts w:hint="eastAsia" w:eastAsia="宋体"/>
          <w:color w:val="1F2225"/>
          <w:sz w:val="21"/>
          <w:szCs w:val="21"/>
        </w:rPr>
        <w:t>药学知识的基础和实践应用及科研证据的应用实践</w:t>
      </w:r>
      <w:r>
        <w:rPr>
          <w:rFonts w:eastAsia="宋体"/>
          <w:color w:val="1F2225"/>
          <w:sz w:val="21"/>
          <w:szCs w:val="21"/>
        </w:rPr>
        <w:t>、NHS 医疗机构或生物医学研发机构参访、构建从理论到实践、从科研</w:t>
      </w:r>
      <w:r>
        <w:rPr>
          <w:rFonts w:hint="eastAsia" w:eastAsia="宋体"/>
          <w:color w:val="1F2225"/>
          <w:sz w:val="21"/>
          <w:szCs w:val="21"/>
        </w:rPr>
        <w:t>、生产</w:t>
      </w:r>
      <w:r>
        <w:rPr>
          <w:rFonts w:eastAsia="宋体"/>
          <w:color w:val="1F2225"/>
          <w:sz w:val="21"/>
          <w:szCs w:val="21"/>
        </w:rPr>
        <w:t>到临床的全链条学习路径</w:t>
      </w:r>
      <w:r>
        <w:rPr>
          <w:rFonts w:hint="eastAsia" w:eastAsia="宋体"/>
          <w:color w:val="1F2225"/>
          <w:sz w:val="21"/>
          <w:szCs w:val="21"/>
        </w:rPr>
        <w:t>；</w:t>
      </w:r>
    </w:p>
    <w:p w14:paraId="75BDE3D6">
      <w:pPr>
        <w:pStyle w:val="14"/>
        <w:keepNext w:val="0"/>
        <w:keepLines w:val="0"/>
        <w:pageBreakBefore w:val="0"/>
        <w:numPr>
          <w:ilvl w:val="0"/>
          <w:numId w:val="1"/>
        </w:numPr>
        <w:kinsoku/>
        <w:wordWrap/>
        <w:overflowPunct/>
        <w:topLinePunct w:val="0"/>
        <w:bidi w:val="0"/>
        <w:snapToGrid/>
        <w:spacing w:line="24" w:lineRule="atLeast"/>
        <w:ind w:left="420" w:leftChars="0" w:hanging="420" w:hangingChars="200"/>
        <w:jc w:val="both"/>
        <w:textAlignment w:val="auto"/>
        <w:rPr>
          <w:rFonts w:eastAsia="宋体"/>
          <w:color w:val="1F2225"/>
          <w:sz w:val="21"/>
          <w:szCs w:val="21"/>
        </w:rPr>
      </w:pPr>
      <w:r>
        <w:rPr>
          <w:rFonts w:hint="eastAsia" w:eastAsia="宋体"/>
          <w:b/>
          <w:bCs/>
          <w:color w:val="000000" w:themeColor="text1"/>
          <w:sz w:val="21"/>
          <w:szCs w:val="21"/>
          <w14:textFill>
            <w14:solidFill>
              <w14:schemeClr w14:val="tx1"/>
            </w14:solidFill>
          </w14:textFill>
        </w:rPr>
        <w:t>超高性价比：</w:t>
      </w:r>
      <w:r>
        <w:rPr>
          <w:rFonts w:hint="eastAsia" w:eastAsia="宋体"/>
          <w:color w:val="000000" w:themeColor="text1"/>
          <w:sz w:val="21"/>
          <w:szCs w:val="21"/>
          <w14:textFill>
            <w14:solidFill>
              <w14:schemeClr w14:val="tx1"/>
            </w14:solidFill>
          </w14:textFill>
        </w:rPr>
        <w:t>项目邀请经验丰富的医生、药学专家授课，</w:t>
      </w:r>
      <w:r>
        <w:rPr>
          <w:rFonts w:eastAsia="宋体"/>
          <w:color w:val="1F2225"/>
          <w:sz w:val="21"/>
          <w:szCs w:val="21"/>
        </w:rPr>
        <w:t>费用涵盖两周线下课程、六周线上课程、学习材料、住宿、早餐、牛津交通卡、英国电话卡、集体参访</w:t>
      </w:r>
      <w:r>
        <w:rPr>
          <w:rFonts w:hint="eastAsia" w:eastAsia="宋体"/>
          <w:color w:val="1F2225"/>
          <w:sz w:val="21"/>
          <w:szCs w:val="21"/>
        </w:rPr>
        <w:t>、</w:t>
      </w:r>
      <w:r>
        <w:rPr>
          <w:rFonts w:eastAsia="宋体"/>
          <w:color w:val="1F2225"/>
          <w:sz w:val="21"/>
          <w:szCs w:val="21"/>
        </w:rPr>
        <w:t>团体航班接送机、英国签证办理（不含签证费）。海外学习期间，当地带队老师将全程协助处理学习与生活事务，确保学生在安全、舒适的环境中专注学习；</w:t>
      </w:r>
    </w:p>
    <w:p w14:paraId="2C374CE8">
      <w:pPr>
        <w:pStyle w:val="14"/>
        <w:keepNext w:val="0"/>
        <w:keepLines w:val="0"/>
        <w:pageBreakBefore w:val="0"/>
        <w:numPr>
          <w:ilvl w:val="0"/>
          <w:numId w:val="1"/>
        </w:numPr>
        <w:kinsoku/>
        <w:wordWrap/>
        <w:overflowPunct/>
        <w:topLinePunct w:val="0"/>
        <w:bidi w:val="0"/>
        <w:snapToGrid/>
        <w:spacing w:line="24" w:lineRule="atLeast"/>
        <w:ind w:left="420" w:leftChars="0" w:hanging="420" w:hangingChars="200"/>
        <w:jc w:val="both"/>
        <w:textAlignment w:val="auto"/>
        <w:rPr>
          <w:rFonts w:eastAsia="宋体"/>
          <w:color w:val="000000" w:themeColor="text1"/>
          <w:sz w:val="21"/>
          <w:szCs w:val="21"/>
          <w14:textFill>
            <w14:solidFill>
              <w14:schemeClr w14:val="tx1"/>
            </w14:solidFill>
          </w14:textFill>
        </w:rPr>
      </w:pPr>
      <w:r>
        <w:rPr>
          <w:rFonts w:hint="eastAsia" w:eastAsia="宋体"/>
          <w:b/>
          <w:bCs/>
          <w:color w:val="000000" w:themeColor="text1"/>
          <w:sz w:val="21"/>
          <w:szCs w:val="21"/>
          <w14:textFill>
            <w14:solidFill>
              <w14:schemeClr w14:val="tx1"/>
            </w14:solidFill>
          </w14:textFill>
        </w:rPr>
        <w:t>带队安全：</w:t>
      </w:r>
      <w:r>
        <w:rPr>
          <w:rFonts w:eastAsia="宋体"/>
          <w:color w:val="000000" w:themeColor="text1"/>
          <w:sz w:val="21"/>
          <w:szCs w:val="21"/>
          <w14:textFill>
            <w14:solidFill>
              <w14:schemeClr w14:val="tx1"/>
            </w14:solidFill>
          </w14:textFill>
        </w:rPr>
        <w:t>海外学习期间，将由广受历届学生喜爱的当地带队老师随队支持，在学习与生活上全方面协助，帮助学生更好地融入当地环境，专注学习和体验。</w:t>
      </w:r>
    </w:p>
    <w:p w14:paraId="608E18C7">
      <w:pPr>
        <w:keepNext w:val="0"/>
        <w:keepLines w:val="0"/>
        <w:pageBreakBefore w:val="0"/>
        <w:kinsoku/>
        <w:wordWrap/>
        <w:overflowPunct/>
        <w:topLinePunct w:val="0"/>
        <w:bidi w:val="0"/>
        <w:snapToGrid/>
        <w:spacing w:line="24" w:lineRule="atLeast"/>
        <w:jc w:val="left"/>
        <w:textAlignment w:val="auto"/>
        <w:rPr>
          <w:rFonts w:ascii="宋体" w:hAnsi="宋体" w:eastAsia="宋体"/>
          <w:b/>
          <w:bCs/>
          <w:szCs w:val="21"/>
          <w:lang w:val="en-US"/>
        </w:rPr>
      </w:pPr>
    </w:p>
    <w:p w14:paraId="4659627C">
      <w:pPr>
        <w:keepNext w:val="0"/>
        <w:keepLines w:val="0"/>
        <w:pageBreakBefore w:val="0"/>
        <w:kinsoku/>
        <w:wordWrap/>
        <w:overflowPunct/>
        <w:topLinePunct w:val="0"/>
        <w:bidi w:val="0"/>
        <w:snapToGrid/>
        <w:spacing w:line="24" w:lineRule="atLeast"/>
        <w:jc w:val="left"/>
        <w:textAlignment w:val="auto"/>
        <w:rPr>
          <w:rFonts w:ascii="宋体" w:hAnsi="宋体" w:eastAsia="宋体"/>
          <w:b/>
          <w:bCs/>
          <w:szCs w:val="21"/>
        </w:rPr>
      </w:pPr>
      <w:r>
        <w:rPr>
          <w:rFonts w:hint="eastAsia" w:ascii="宋体" w:hAnsi="宋体" w:eastAsia="宋体"/>
          <w:b/>
          <w:bCs/>
          <w:szCs w:val="21"/>
          <w:lang w:val="en-US" w:eastAsia="zh-CN"/>
        </w:rPr>
        <w:t>四</w:t>
      </w:r>
      <w:r>
        <w:rPr>
          <w:rFonts w:hint="eastAsia" w:ascii="宋体" w:hAnsi="宋体" w:eastAsia="宋体"/>
          <w:b/>
          <w:bCs/>
          <w:szCs w:val="21"/>
        </w:rPr>
        <w:t>、项目内容：（</w:t>
      </w:r>
      <w:r>
        <w:rPr>
          <w:rFonts w:ascii="宋体" w:hAnsi="宋体" w:eastAsia="宋体"/>
          <w:b/>
          <w:bCs/>
          <w:szCs w:val="21"/>
        </w:rPr>
        <w:t>9</w:t>
      </w:r>
      <w:r>
        <w:rPr>
          <w:rFonts w:hint="eastAsia" w:ascii="宋体" w:hAnsi="宋体" w:eastAsia="宋体"/>
          <w:b/>
          <w:bCs/>
          <w:szCs w:val="21"/>
        </w:rPr>
        <w:t>大模块）</w:t>
      </w:r>
    </w:p>
    <w:p w14:paraId="6E2400DE">
      <w:pPr>
        <w:keepNext w:val="0"/>
        <w:keepLines w:val="0"/>
        <w:pageBreakBefore w:val="0"/>
        <w:kinsoku/>
        <w:wordWrap/>
        <w:overflowPunct/>
        <w:topLinePunct w:val="0"/>
        <w:bidi w:val="0"/>
        <w:snapToGrid/>
        <w:spacing w:line="24" w:lineRule="atLeast"/>
        <w:textAlignment w:val="auto"/>
        <w:rPr>
          <w:rFonts w:ascii="宋体" w:hAnsi="宋体" w:eastAsia="宋体" w:cs="宋体"/>
          <w:color w:val="1F2225"/>
          <w:kern w:val="0"/>
          <w:szCs w:val="21"/>
          <w:lang w:val="en-US"/>
        </w:rPr>
      </w:pPr>
      <w:r>
        <w:rPr>
          <w:rFonts w:ascii="宋体" w:hAnsi="宋体" w:eastAsia="宋体" w:cs="宋体"/>
          <w:color w:val="1F2225"/>
          <w:kern w:val="0"/>
          <w:szCs w:val="21"/>
          <w:lang w:val="en-US"/>
        </w:rPr>
        <w:t>课程将世界领先的</w:t>
      </w:r>
      <w:r>
        <w:rPr>
          <w:rFonts w:hint="eastAsia" w:ascii="宋体" w:hAnsi="宋体" w:eastAsia="宋体" w:cs="宋体"/>
          <w:color w:val="1F2225"/>
          <w:kern w:val="0"/>
          <w:szCs w:val="21"/>
          <w:lang w:val="en-US"/>
        </w:rPr>
        <w:t>药</w:t>
      </w:r>
      <w:r>
        <w:rPr>
          <w:rFonts w:ascii="宋体" w:hAnsi="宋体" w:eastAsia="宋体" w:cs="宋体"/>
          <w:color w:val="1F2225"/>
          <w:kern w:val="0"/>
          <w:szCs w:val="21"/>
          <w:lang w:val="en-US"/>
        </w:rPr>
        <w:t>学教育理念、最新科研成果与实践训练有机融合，帮助</w:t>
      </w:r>
      <w:r>
        <w:rPr>
          <w:rFonts w:hint="eastAsia" w:ascii="宋体" w:hAnsi="宋体" w:eastAsia="宋体" w:cs="宋体"/>
          <w:color w:val="1F2225"/>
          <w:kern w:val="0"/>
          <w:szCs w:val="21"/>
          <w:lang w:val="en-US"/>
        </w:rPr>
        <w:t>药</w:t>
      </w:r>
      <w:r>
        <w:rPr>
          <w:rFonts w:ascii="宋体" w:hAnsi="宋体" w:eastAsia="宋体" w:cs="宋体"/>
          <w:color w:val="1F2225"/>
          <w:kern w:val="0"/>
          <w:szCs w:val="21"/>
          <w:lang w:val="en-US"/>
        </w:rPr>
        <w:t>学相关专业学生在短期内显著提升学术能力与</w:t>
      </w:r>
      <w:r>
        <w:rPr>
          <w:rFonts w:hint="eastAsia" w:ascii="宋体" w:hAnsi="宋体" w:eastAsia="宋体" w:cs="宋体"/>
          <w:color w:val="1F2225"/>
          <w:kern w:val="0"/>
          <w:szCs w:val="21"/>
          <w:lang w:val="en-US"/>
        </w:rPr>
        <w:t>科研</w:t>
      </w:r>
      <w:r>
        <w:rPr>
          <w:rFonts w:ascii="宋体" w:hAnsi="宋体" w:eastAsia="宋体" w:cs="宋体"/>
          <w:color w:val="1F2225"/>
          <w:kern w:val="0"/>
          <w:szCs w:val="21"/>
          <w:lang w:val="en-US"/>
        </w:rPr>
        <w:t>思维，并全面拓展国际视野。</w:t>
      </w:r>
      <w:r>
        <w:rPr>
          <w:rFonts w:hint="eastAsia" w:ascii="宋体" w:hAnsi="宋体" w:eastAsia="宋体" w:cs="宋体"/>
          <w:color w:val="1F2225"/>
          <w:kern w:val="0"/>
          <w:szCs w:val="21"/>
          <w:lang w:val="en-US"/>
        </w:rPr>
        <w:t>主要内容如下：</w:t>
      </w:r>
    </w:p>
    <w:p w14:paraId="76422BF9">
      <w:pPr>
        <w:keepNext w:val="0"/>
        <w:keepLines w:val="0"/>
        <w:pageBreakBefore w:val="0"/>
        <w:kinsoku/>
        <w:wordWrap/>
        <w:overflowPunct/>
        <w:topLinePunct w:val="0"/>
        <w:bidi w:val="0"/>
        <w:snapToGrid/>
        <w:spacing w:line="24" w:lineRule="atLeast"/>
        <w:textAlignment w:val="auto"/>
        <w:rPr>
          <w:rFonts w:ascii="宋体" w:hAnsi="宋体" w:eastAsia="宋体" w:cs="宋体"/>
          <w:color w:val="1F2225"/>
          <w:kern w:val="0"/>
          <w:szCs w:val="21"/>
          <w:lang w:val="en-US"/>
        </w:rPr>
      </w:pPr>
    </w:p>
    <w:p w14:paraId="639DDBE0">
      <w:pPr>
        <w:keepNext w:val="0"/>
        <w:keepLines w:val="0"/>
        <w:pageBreakBefore w:val="0"/>
        <w:kinsoku/>
        <w:wordWrap/>
        <w:overflowPunct/>
        <w:topLinePunct w:val="0"/>
        <w:bidi w:val="0"/>
        <w:snapToGrid/>
        <w:spacing w:line="24" w:lineRule="atLeast"/>
        <w:jc w:val="left"/>
        <w:textAlignment w:val="auto"/>
        <w:rPr>
          <w:rFonts w:ascii="宋体" w:hAnsi="宋体" w:eastAsia="宋体"/>
          <w:b/>
          <w:bCs/>
          <w:szCs w:val="21"/>
          <w:u w:val="single"/>
        </w:rPr>
      </w:pPr>
      <w:r>
        <w:rPr>
          <w:rFonts w:hint="eastAsia" w:ascii="宋体" w:hAnsi="宋体" w:eastAsia="宋体"/>
          <w:b/>
          <w:bCs/>
          <w:szCs w:val="21"/>
          <w:u w:val="single"/>
        </w:rPr>
        <w:t>模块一、药学专家讲座</w:t>
      </w:r>
    </w:p>
    <w:p w14:paraId="3A091A49">
      <w:pPr>
        <w:keepNext w:val="0"/>
        <w:keepLines w:val="0"/>
        <w:pageBreakBefore w:val="0"/>
        <w:kinsoku/>
        <w:wordWrap/>
        <w:overflowPunct/>
        <w:topLinePunct w:val="0"/>
        <w:bidi w:val="0"/>
        <w:snapToGrid/>
        <w:spacing w:line="24" w:lineRule="atLeast"/>
        <w:jc w:val="left"/>
        <w:textAlignment w:val="auto"/>
        <w:rPr>
          <w:rFonts w:ascii="宋体" w:hAnsi="宋体" w:eastAsia="宋体"/>
          <w:szCs w:val="21"/>
          <w:lang w:val="en-US"/>
        </w:rPr>
      </w:pPr>
      <w:r>
        <w:rPr>
          <w:rFonts w:ascii="宋体" w:hAnsi="宋体" w:eastAsia="宋体"/>
          <w:szCs w:val="21"/>
          <w:lang w:val="en-US"/>
        </w:rPr>
        <w:t>由活跃在科研一线的课题组专家及</w:t>
      </w:r>
      <w:r>
        <w:rPr>
          <w:rFonts w:hint="eastAsia" w:ascii="宋体" w:hAnsi="宋体" w:eastAsia="宋体"/>
          <w:szCs w:val="21"/>
          <w:lang w:val="en-US"/>
        </w:rPr>
        <w:t>药学系教授</w:t>
      </w:r>
      <w:r>
        <w:rPr>
          <w:rFonts w:ascii="宋体" w:hAnsi="宋体" w:eastAsia="宋体"/>
          <w:szCs w:val="21"/>
          <w:lang w:val="en-US"/>
        </w:rPr>
        <w:t>亲自授课，围绕前沿研究课题，为学生带来世界领先的</w:t>
      </w:r>
      <w:r>
        <w:rPr>
          <w:rFonts w:hint="eastAsia" w:ascii="宋体" w:hAnsi="宋体" w:eastAsia="宋体"/>
          <w:szCs w:val="21"/>
          <w:lang w:val="en-US"/>
        </w:rPr>
        <w:t>药</w:t>
      </w:r>
      <w:r>
        <w:rPr>
          <w:rFonts w:ascii="宋体" w:hAnsi="宋体" w:eastAsia="宋体"/>
          <w:szCs w:val="21"/>
          <w:lang w:val="en-US"/>
        </w:rPr>
        <w:t>学知识。课程不仅展示最新科研成果与</w:t>
      </w:r>
      <w:r>
        <w:rPr>
          <w:rFonts w:hint="eastAsia" w:ascii="宋体" w:hAnsi="宋体" w:eastAsia="宋体"/>
          <w:szCs w:val="21"/>
          <w:lang w:val="en-US"/>
        </w:rPr>
        <w:t>实践</w:t>
      </w:r>
      <w:r>
        <w:rPr>
          <w:rFonts w:ascii="宋体" w:hAnsi="宋体" w:eastAsia="宋体"/>
          <w:szCs w:val="21"/>
          <w:lang w:val="en-US"/>
        </w:rPr>
        <w:t>突破，还将引导学生理解这些进展如何改变</w:t>
      </w:r>
      <w:r>
        <w:rPr>
          <w:rFonts w:hint="eastAsia" w:ascii="宋体" w:hAnsi="宋体" w:eastAsia="宋体"/>
          <w:szCs w:val="21"/>
          <w:lang w:val="en-US"/>
        </w:rPr>
        <w:t>医药实</w:t>
      </w:r>
      <w:r>
        <w:rPr>
          <w:rFonts w:ascii="宋体" w:hAnsi="宋体" w:eastAsia="宋体"/>
          <w:szCs w:val="21"/>
          <w:lang w:val="en-US"/>
        </w:rPr>
        <w:t>践和患者预后。</w:t>
      </w:r>
      <w:r>
        <w:rPr>
          <w:rFonts w:hint="eastAsia" w:ascii="宋体" w:hAnsi="宋体" w:eastAsia="宋体"/>
          <w:szCs w:val="21"/>
          <w:lang w:val="en-US"/>
        </w:rPr>
        <w:t>往期</w:t>
      </w:r>
      <w:r>
        <w:rPr>
          <w:rFonts w:ascii="宋体" w:hAnsi="宋体" w:eastAsia="宋体"/>
          <w:szCs w:val="21"/>
          <w:lang w:val="en-US"/>
        </w:rPr>
        <w:t>专题包括：</w:t>
      </w:r>
    </w:p>
    <w:p w14:paraId="0A422A4E">
      <w:pPr>
        <w:keepNext w:val="0"/>
        <w:keepLines w:val="0"/>
        <w:pageBreakBefore w:val="0"/>
        <w:kinsoku/>
        <w:wordWrap/>
        <w:overflowPunct/>
        <w:topLinePunct w:val="0"/>
        <w:bidi w:val="0"/>
        <w:snapToGrid/>
        <w:spacing w:line="24" w:lineRule="atLeast"/>
        <w:jc w:val="left"/>
        <w:textAlignment w:val="auto"/>
        <w:rPr>
          <w:rFonts w:ascii="宋体" w:hAnsi="宋体" w:eastAsia="宋体"/>
          <w:b/>
          <w:bCs/>
          <w:szCs w:val="21"/>
        </w:rPr>
      </w:pPr>
    </w:p>
    <w:p w14:paraId="275DA643">
      <w:pPr>
        <w:pStyle w:val="13"/>
        <w:keepNext w:val="0"/>
        <w:keepLines w:val="0"/>
        <w:pageBreakBefore w:val="0"/>
        <w:numPr>
          <w:ilvl w:val="0"/>
          <w:numId w:val="2"/>
        </w:numPr>
        <w:kinsoku/>
        <w:wordWrap/>
        <w:overflowPunct/>
        <w:topLinePunct w:val="0"/>
        <w:bidi w:val="0"/>
        <w:snapToGrid/>
        <w:spacing w:before="0" w:line="24" w:lineRule="atLeast"/>
        <w:ind w:left="360" w:leftChars="0" w:hanging="360" w:firstLineChars="0"/>
        <w:textAlignment w:val="auto"/>
        <w:rPr>
          <w:b/>
          <w:sz w:val="21"/>
          <w:szCs w:val="21"/>
        </w:rPr>
      </w:pPr>
      <w:r>
        <w:rPr>
          <w:rFonts w:hint="eastAsia"/>
          <w:b/>
          <w:sz w:val="21"/>
          <w:szCs w:val="21"/>
        </w:rPr>
        <w:t>未来制药：3D打印与人工智能</w:t>
      </w:r>
    </w:p>
    <w:p w14:paraId="4EC02D75">
      <w:pPr>
        <w:pStyle w:val="13"/>
        <w:keepNext w:val="0"/>
        <w:keepLines w:val="0"/>
        <w:pageBreakBefore w:val="0"/>
        <w:kinsoku/>
        <w:wordWrap/>
        <w:overflowPunct/>
        <w:topLinePunct w:val="0"/>
        <w:bidi w:val="0"/>
        <w:snapToGrid/>
        <w:spacing w:before="0" w:line="24" w:lineRule="atLeast"/>
        <w:ind w:firstLine="0" w:firstLineChars="0"/>
        <w:textAlignment w:val="auto"/>
        <w:rPr>
          <w:sz w:val="21"/>
          <w:szCs w:val="21"/>
        </w:rPr>
      </w:pPr>
      <w:r>
        <w:rPr>
          <w:rFonts w:hint="eastAsia"/>
          <w:sz w:val="21"/>
          <w:szCs w:val="21"/>
        </w:rPr>
        <w:t>讲座将围绕</w:t>
      </w:r>
      <w:r>
        <w:rPr>
          <w:sz w:val="21"/>
          <w:szCs w:val="21"/>
          <w:lang w:val="en-US"/>
        </w:rPr>
        <w:t>3D</w:t>
      </w:r>
      <w:r>
        <w:rPr>
          <w:rFonts w:hint="eastAsia"/>
          <w:sz w:val="21"/>
          <w:szCs w:val="21"/>
        </w:rPr>
        <w:t>打印与人工智能（</w:t>
      </w:r>
      <w:r>
        <w:rPr>
          <w:sz w:val="21"/>
          <w:szCs w:val="21"/>
          <w:lang w:val="en-US"/>
        </w:rPr>
        <w:t>AI</w:t>
      </w:r>
      <w:r>
        <w:rPr>
          <w:rFonts w:hint="eastAsia"/>
          <w:sz w:val="21"/>
          <w:szCs w:val="21"/>
        </w:rPr>
        <w:t>）在未来制剂开发中的创新应用展开。盖斯福德教授将探讨如何利用</w:t>
      </w:r>
      <w:r>
        <w:rPr>
          <w:sz w:val="21"/>
          <w:szCs w:val="21"/>
          <w:lang w:val="en-US"/>
        </w:rPr>
        <w:t>3D</w:t>
      </w:r>
      <w:r>
        <w:rPr>
          <w:rFonts w:hint="eastAsia"/>
          <w:sz w:val="21"/>
          <w:szCs w:val="21"/>
        </w:rPr>
        <w:t>打印技术实现个性化药物定制，通过</w:t>
      </w:r>
      <w:r>
        <w:rPr>
          <w:sz w:val="21"/>
          <w:szCs w:val="21"/>
          <w:lang w:val="en-US"/>
        </w:rPr>
        <w:t>AI</w:t>
      </w:r>
      <w:r>
        <w:rPr>
          <w:rFonts w:hint="eastAsia"/>
          <w:sz w:val="21"/>
          <w:szCs w:val="21"/>
        </w:rPr>
        <w:t>优化药物设计、配方和生产流程，以满足个体化医疗的需求。讲座将展示</w:t>
      </w:r>
      <w:r>
        <w:rPr>
          <w:sz w:val="21"/>
          <w:szCs w:val="21"/>
          <w:lang w:val="en-US"/>
        </w:rPr>
        <w:t>3D</w:t>
      </w:r>
      <w:r>
        <w:rPr>
          <w:rFonts w:hint="eastAsia"/>
          <w:sz w:val="21"/>
          <w:szCs w:val="21"/>
        </w:rPr>
        <w:t>打印在药物制备中的最新进展，包括不同打印技术的选择与应用，并深入分析</w:t>
      </w:r>
      <w:r>
        <w:rPr>
          <w:sz w:val="21"/>
          <w:szCs w:val="21"/>
          <w:lang w:val="en-US"/>
        </w:rPr>
        <w:t>AI</w:t>
      </w:r>
      <w:r>
        <w:rPr>
          <w:rFonts w:hint="eastAsia"/>
          <w:sz w:val="21"/>
          <w:szCs w:val="21"/>
        </w:rPr>
        <w:t>在药物配方优化中的作用，如提高药物的有效性、安全性和患者依从性。这一前沿技术的结合将为药物研发和生产带来革命性的变化，推动制药业进入更加智能化、个性化的新时代。</w:t>
      </w:r>
    </w:p>
    <w:p w14:paraId="3D9CC888">
      <w:pPr>
        <w:pStyle w:val="13"/>
        <w:keepNext w:val="0"/>
        <w:keepLines w:val="0"/>
        <w:pageBreakBefore w:val="0"/>
        <w:numPr>
          <w:ilvl w:val="0"/>
          <w:numId w:val="2"/>
        </w:numPr>
        <w:kinsoku/>
        <w:wordWrap/>
        <w:overflowPunct/>
        <w:topLinePunct w:val="0"/>
        <w:bidi w:val="0"/>
        <w:snapToGrid/>
        <w:spacing w:before="0" w:line="24" w:lineRule="atLeast"/>
        <w:ind w:left="360" w:leftChars="0" w:hanging="360" w:firstLineChars="0"/>
        <w:textAlignment w:val="auto"/>
        <w:rPr>
          <w:b/>
          <w:sz w:val="21"/>
          <w:szCs w:val="21"/>
        </w:rPr>
      </w:pPr>
      <w:r>
        <w:rPr>
          <w:rFonts w:hint="eastAsia"/>
          <w:b/>
          <w:sz w:val="21"/>
          <w:szCs w:val="21"/>
        </w:rPr>
        <w:t>睡眠和昼夜节律调节药物的转化发现</w:t>
      </w:r>
    </w:p>
    <w:p w14:paraId="42C5D9E1">
      <w:pPr>
        <w:pStyle w:val="13"/>
        <w:keepNext w:val="0"/>
        <w:keepLines w:val="0"/>
        <w:pageBreakBefore w:val="0"/>
        <w:kinsoku/>
        <w:wordWrap/>
        <w:overflowPunct/>
        <w:topLinePunct w:val="0"/>
        <w:bidi w:val="0"/>
        <w:snapToGrid/>
        <w:spacing w:before="0" w:line="24" w:lineRule="atLeast"/>
        <w:ind w:firstLine="0" w:firstLineChars="0"/>
        <w:textAlignment w:val="auto"/>
        <w:rPr>
          <w:sz w:val="21"/>
          <w:szCs w:val="21"/>
        </w:rPr>
      </w:pPr>
      <w:r>
        <w:rPr>
          <w:sz w:val="21"/>
          <w:szCs w:val="21"/>
        </w:rPr>
        <w:t>讲座</w:t>
      </w:r>
      <w:r>
        <w:rPr>
          <w:rFonts w:hint="eastAsia"/>
          <w:sz w:val="21"/>
          <w:szCs w:val="21"/>
        </w:rPr>
        <w:t>将</w:t>
      </w:r>
      <w:r>
        <w:rPr>
          <w:sz w:val="21"/>
          <w:szCs w:val="21"/>
        </w:rPr>
        <w:t>详细介绍教授的实验室目前的科研项目，即研究操纵睡眠和昼夜节律治疗代谢、精神和退行性疾病的有效性，并将其推广到临床，同时研究调节这些过程的信号通路和化学介质。</w:t>
      </w:r>
    </w:p>
    <w:p w14:paraId="3B4469BA">
      <w:pPr>
        <w:pStyle w:val="13"/>
        <w:keepNext w:val="0"/>
        <w:keepLines w:val="0"/>
        <w:pageBreakBefore w:val="0"/>
        <w:numPr>
          <w:ilvl w:val="0"/>
          <w:numId w:val="2"/>
        </w:numPr>
        <w:kinsoku/>
        <w:wordWrap/>
        <w:overflowPunct/>
        <w:topLinePunct w:val="0"/>
        <w:bidi w:val="0"/>
        <w:snapToGrid/>
        <w:spacing w:before="0" w:line="24" w:lineRule="atLeast"/>
        <w:ind w:left="360" w:leftChars="0" w:hanging="360" w:firstLineChars="0"/>
        <w:textAlignment w:val="auto"/>
        <w:rPr>
          <w:b/>
          <w:sz w:val="21"/>
          <w:szCs w:val="21"/>
        </w:rPr>
      </w:pPr>
      <w:r>
        <w:rPr>
          <w:rFonts w:hint="eastAsia"/>
          <w:b/>
          <w:sz w:val="21"/>
          <w:szCs w:val="21"/>
        </w:rPr>
        <w:t xml:space="preserve">再生药学 </w:t>
      </w:r>
      <w:r>
        <w:rPr>
          <w:b/>
          <w:sz w:val="21"/>
          <w:szCs w:val="21"/>
        </w:rPr>
        <w:t>(Regenerative Medicinal Chemistry)</w:t>
      </w:r>
    </w:p>
    <w:p w14:paraId="4A98C801">
      <w:pPr>
        <w:pStyle w:val="13"/>
        <w:keepNext w:val="0"/>
        <w:keepLines w:val="0"/>
        <w:pageBreakBefore w:val="0"/>
        <w:kinsoku/>
        <w:wordWrap/>
        <w:overflowPunct/>
        <w:topLinePunct w:val="0"/>
        <w:bidi w:val="0"/>
        <w:snapToGrid/>
        <w:spacing w:before="0" w:line="24" w:lineRule="atLeast"/>
        <w:ind w:firstLine="0" w:firstLineChars="0"/>
        <w:textAlignment w:val="auto"/>
        <w:rPr>
          <w:sz w:val="21"/>
          <w:szCs w:val="21"/>
        </w:rPr>
      </w:pPr>
      <w:r>
        <w:rPr>
          <w:rFonts w:hint="eastAsia"/>
          <w:sz w:val="21"/>
          <w:szCs w:val="21"/>
        </w:rPr>
        <w:t>再生药学的大多数方法都集中在治疗性细胞的移植上，但在常规采用这种疗法时存在着重大障碍，我们现在了解到，在大多数情况下，这些细胞不是作为一种细胞替代疗法，而是通过刺激身体内已经存在的内源性修复途径来发挥作用，并以此为导向，发现直接刺激这些修复和再生过程的分子，从而治疗慢性退行性疾病和损伤。</w:t>
      </w:r>
    </w:p>
    <w:p w14:paraId="623DBA7C">
      <w:pPr>
        <w:pStyle w:val="13"/>
        <w:keepNext w:val="0"/>
        <w:keepLines w:val="0"/>
        <w:pageBreakBefore w:val="0"/>
        <w:kinsoku/>
        <w:wordWrap/>
        <w:overflowPunct/>
        <w:topLinePunct w:val="0"/>
        <w:bidi w:val="0"/>
        <w:snapToGrid/>
        <w:spacing w:before="0" w:line="24" w:lineRule="atLeast"/>
        <w:ind w:firstLine="0" w:firstLineChars="0"/>
        <w:textAlignment w:val="auto"/>
        <w:rPr>
          <w:sz w:val="21"/>
          <w:szCs w:val="21"/>
        </w:rPr>
      </w:pPr>
      <w:r>
        <w:rPr>
          <w:rFonts w:hint="eastAsia"/>
          <w:sz w:val="21"/>
          <w:szCs w:val="21"/>
        </w:rPr>
        <w:t xml:space="preserve">讲座将详细讨论如何发现新的药物靶向及其相关机制，并将这些发现转化为新的临床药物，可以调控肌营养相关蛋白以治疗杜兴氏肌肉萎缩（ </w:t>
      </w:r>
      <w:r>
        <w:rPr>
          <w:sz w:val="21"/>
          <w:szCs w:val="21"/>
        </w:rPr>
        <w:t>Duchenne Muscular Dystrophy</w:t>
      </w:r>
      <w:r>
        <w:rPr>
          <w:rFonts w:hint="eastAsia"/>
          <w:sz w:val="21"/>
          <w:szCs w:val="21"/>
        </w:rPr>
        <w:t>），该发现可用于新的抗癌药物和再生医学的药物研发。讲座将以再生药学为例，详细解释在科研中如何确定研究方向和科学成果转化为生产力的具体过程。</w:t>
      </w:r>
    </w:p>
    <w:p w14:paraId="75280501">
      <w:pPr>
        <w:pStyle w:val="13"/>
        <w:keepNext w:val="0"/>
        <w:keepLines w:val="0"/>
        <w:pageBreakBefore w:val="0"/>
        <w:numPr>
          <w:ilvl w:val="0"/>
          <w:numId w:val="2"/>
        </w:numPr>
        <w:kinsoku/>
        <w:wordWrap/>
        <w:overflowPunct/>
        <w:topLinePunct w:val="0"/>
        <w:bidi w:val="0"/>
        <w:snapToGrid/>
        <w:spacing w:before="0" w:line="24" w:lineRule="atLeast"/>
        <w:ind w:left="360" w:leftChars="0" w:hanging="360" w:firstLineChars="0"/>
        <w:textAlignment w:val="auto"/>
        <w:rPr>
          <w:b/>
          <w:sz w:val="21"/>
          <w:szCs w:val="21"/>
        </w:rPr>
      </w:pPr>
      <w:r>
        <w:rPr>
          <w:rFonts w:hint="eastAsia"/>
          <w:b/>
          <w:sz w:val="21"/>
          <w:szCs w:val="21"/>
        </w:rPr>
        <w:t>临床药理学</w:t>
      </w:r>
    </w:p>
    <w:p w14:paraId="1B54EF07">
      <w:pPr>
        <w:pStyle w:val="13"/>
        <w:keepNext w:val="0"/>
        <w:keepLines w:val="0"/>
        <w:pageBreakBefore w:val="0"/>
        <w:kinsoku/>
        <w:wordWrap/>
        <w:overflowPunct/>
        <w:topLinePunct w:val="0"/>
        <w:bidi w:val="0"/>
        <w:snapToGrid/>
        <w:spacing w:before="0" w:line="24" w:lineRule="atLeast"/>
        <w:ind w:firstLine="0" w:firstLineChars="0"/>
        <w:textAlignment w:val="auto"/>
        <w:rPr>
          <w:sz w:val="21"/>
          <w:szCs w:val="21"/>
        </w:rPr>
      </w:pPr>
      <w:r>
        <w:rPr>
          <w:sz w:val="21"/>
          <w:szCs w:val="21"/>
        </w:rPr>
        <w:t>深入探讨临床药理学在慢性病治疗监控中的应用，教授学生如何有效监测和调整治疗方案以优化疗效，同时减少不良药物反应。学生还将了解药物治疗的基本原则，如药效学、药动学，以及如何根据患者的具体情况选择和调整药物治疗</w:t>
      </w:r>
      <w:r>
        <w:rPr>
          <w:rFonts w:hint="eastAsia"/>
          <w:sz w:val="21"/>
          <w:szCs w:val="21"/>
        </w:rPr>
        <w:t>。</w:t>
      </w:r>
    </w:p>
    <w:p w14:paraId="2462962B">
      <w:pPr>
        <w:pStyle w:val="13"/>
        <w:keepNext w:val="0"/>
        <w:keepLines w:val="0"/>
        <w:pageBreakBefore w:val="0"/>
        <w:numPr>
          <w:ilvl w:val="0"/>
          <w:numId w:val="2"/>
        </w:numPr>
        <w:kinsoku/>
        <w:wordWrap/>
        <w:overflowPunct/>
        <w:topLinePunct w:val="0"/>
        <w:bidi w:val="0"/>
        <w:snapToGrid/>
        <w:spacing w:before="0" w:line="24" w:lineRule="atLeast"/>
        <w:ind w:left="360" w:leftChars="0" w:hanging="360" w:firstLineChars="0"/>
        <w:textAlignment w:val="auto"/>
        <w:rPr>
          <w:b/>
          <w:sz w:val="21"/>
          <w:szCs w:val="21"/>
        </w:rPr>
      </w:pPr>
      <w:r>
        <w:rPr>
          <w:rFonts w:hint="eastAsia"/>
          <w:b/>
          <w:sz w:val="21"/>
          <w:szCs w:val="21"/>
        </w:rPr>
        <w:t>心血管药理学</w:t>
      </w:r>
    </w:p>
    <w:p w14:paraId="7527B30E">
      <w:pPr>
        <w:pStyle w:val="13"/>
        <w:keepNext w:val="0"/>
        <w:keepLines w:val="0"/>
        <w:pageBreakBefore w:val="0"/>
        <w:kinsoku/>
        <w:wordWrap/>
        <w:overflowPunct/>
        <w:topLinePunct w:val="0"/>
        <w:bidi w:val="0"/>
        <w:snapToGrid/>
        <w:spacing w:before="0" w:line="24" w:lineRule="atLeast"/>
        <w:ind w:firstLine="0" w:firstLineChars="0"/>
        <w:textAlignment w:val="auto"/>
        <w:rPr>
          <w:sz w:val="21"/>
          <w:szCs w:val="21"/>
        </w:rPr>
      </w:pPr>
      <w:r>
        <w:rPr>
          <w:rFonts w:hint="eastAsia"/>
          <w:sz w:val="21"/>
          <w:szCs w:val="21"/>
        </w:rPr>
        <w:t>心血管主题的研究人员使用先进的活体细胞成像和电生理技术来研究心脏以及构成微循环的小动脉和动静脉中的细胞和细胞间信号传递机制。特别重视将分子和细胞机制与生理和病理生理条件下的功能组织反应联系起来。在讲座中，我们将详细讨论药物对心脏收缩力的影响原则：对心脏的直接影响，通过改变血管张力的间接影响。血压的药理学。心律失常和心脏传导阻滞的可能：致病机制和结构性原因，抗心律失常药物的可能作用原理。</w:t>
      </w:r>
    </w:p>
    <w:p w14:paraId="693CE593">
      <w:pPr>
        <w:pStyle w:val="13"/>
        <w:keepNext w:val="0"/>
        <w:keepLines w:val="0"/>
        <w:pageBreakBefore w:val="0"/>
        <w:kinsoku/>
        <w:wordWrap/>
        <w:overflowPunct/>
        <w:topLinePunct w:val="0"/>
        <w:bidi w:val="0"/>
        <w:snapToGrid/>
        <w:spacing w:before="0" w:line="24" w:lineRule="atLeast"/>
        <w:ind w:firstLine="0" w:firstLineChars="0"/>
        <w:textAlignment w:val="auto"/>
        <w:rPr>
          <w:rFonts w:hint="eastAsia"/>
          <w:sz w:val="21"/>
          <w:szCs w:val="21"/>
          <w:u w:val="single"/>
        </w:rPr>
      </w:pPr>
    </w:p>
    <w:p w14:paraId="6F7B8E25">
      <w:pPr>
        <w:pStyle w:val="7"/>
        <w:keepNext w:val="0"/>
        <w:keepLines w:val="0"/>
        <w:pageBreakBefore w:val="0"/>
        <w:kinsoku/>
        <w:wordWrap/>
        <w:overflowPunct/>
        <w:topLinePunct w:val="0"/>
        <w:bidi w:val="0"/>
        <w:snapToGrid/>
        <w:spacing w:before="0" w:beforeAutospacing="0" w:after="0" w:afterAutospacing="0" w:line="24" w:lineRule="atLeast"/>
        <w:textAlignment w:val="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注：1</w:t>
      </w:r>
      <w:r>
        <w:rPr>
          <w:rFonts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课程主题为往年示例，具体授课课题海外将根据实际情况做调整；2</w:t>
      </w:r>
      <w:r>
        <w:rPr>
          <w:rFonts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模块二至八的内容和医学同学共同学习</w:t>
      </w:r>
    </w:p>
    <w:p w14:paraId="18B1BC0A">
      <w:pPr>
        <w:pStyle w:val="7"/>
        <w:keepNext w:val="0"/>
        <w:keepLines w:val="0"/>
        <w:pageBreakBefore w:val="0"/>
        <w:kinsoku/>
        <w:wordWrap/>
        <w:overflowPunct/>
        <w:topLinePunct w:val="0"/>
        <w:bidi w:val="0"/>
        <w:snapToGrid/>
        <w:spacing w:before="0" w:beforeAutospacing="0" w:after="0" w:afterAutospacing="0" w:line="24" w:lineRule="atLeast"/>
        <w:textAlignment w:val="auto"/>
        <w:rPr>
          <w:rFonts w:hint="eastAsia" w:ascii="宋体" w:hAnsi="宋体" w:eastAsia="宋体" w:cs="宋体"/>
          <w:color w:val="000000" w:themeColor="text1"/>
          <w:sz w:val="21"/>
          <w:szCs w:val="21"/>
          <w14:textFill>
            <w14:solidFill>
              <w14:schemeClr w14:val="tx1"/>
            </w14:solidFill>
          </w14:textFill>
        </w:rPr>
      </w:pPr>
    </w:p>
    <w:p w14:paraId="309878BA">
      <w:pPr>
        <w:pStyle w:val="18"/>
        <w:keepNext w:val="0"/>
        <w:keepLines w:val="0"/>
        <w:pageBreakBefore w:val="0"/>
        <w:kinsoku/>
        <w:wordWrap/>
        <w:overflowPunct/>
        <w:topLinePunct w:val="0"/>
        <w:bidi w:val="0"/>
        <w:snapToGrid/>
        <w:spacing w:before="0" w:beforeAutospacing="0" w:after="0" w:afterAutospacing="0" w:line="24" w:lineRule="atLeast"/>
        <w:textAlignment w:val="auto"/>
        <w:rPr>
          <w:rFonts w:ascii="宋体" w:hAnsi="宋体" w:eastAsia="宋体"/>
          <w:sz w:val="21"/>
          <w:szCs w:val="21"/>
          <w:u w:val="single"/>
          <w:lang w:eastAsia="zh-CN"/>
        </w:rPr>
      </w:pPr>
      <w:r>
        <w:rPr>
          <w:rFonts w:hint="eastAsia" w:ascii="宋体" w:hAnsi="宋体" w:eastAsia="宋体"/>
          <w:bCs/>
          <w:color w:val="1F2225"/>
          <w:sz w:val="21"/>
          <w:szCs w:val="21"/>
          <w:u w:val="single"/>
          <w:lang w:eastAsia="zh-CN"/>
        </w:rPr>
        <w:t>模块二、</w:t>
      </w:r>
      <w:r>
        <w:rPr>
          <w:rFonts w:ascii="宋体" w:hAnsi="宋体" w:eastAsia="宋体"/>
          <w:bCs/>
          <w:color w:val="1F2225"/>
          <w:sz w:val="21"/>
          <w:szCs w:val="21"/>
          <w:u w:val="single"/>
          <w:lang w:eastAsia="zh-CN"/>
        </w:rPr>
        <w:t>循证医学的临床应用与实践</w:t>
      </w:r>
    </w:p>
    <w:p w14:paraId="645C5754">
      <w:pPr>
        <w:keepNext w:val="0"/>
        <w:keepLines w:val="0"/>
        <w:pageBreakBefore w:val="0"/>
        <w:kinsoku/>
        <w:wordWrap/>
        <w:overflowPunct/>
        <w:topLinePunct w:val="0"/>
        <w:bidi w:val="0"/>
        <w:snapToGrid/>
        <w:spacing w:beforeAutospacing="0" w:line="24" w:lineRule="atLeast"/>
        <w:textAlignment w:val="auto"/>
        <w:rPr>
          <w:rFonts w:ascii="宋体" w:hAnsi="宋体" w:eastAsia="宋体"/>
          <w:szCs w:val="21"/>
        </w:rPr>
      </w:pPr>
      <w:r>
        <w:rPr>
          <w:rFonts w:ascii="宋体" w:hAnsi="宋体" w:eastAsia="宋体"/>
          <w:color w:val="1F2225"/>
          <w:szCs w:val="21"/>
        </w:rPr>
        <w:t>本模块系统覆盖临床各阶段的证据研究方法，培养学生的循证思维与临床决策能力。课程以案例分析（Case-based Learning）为主轴，结合问题引导式教学（Question-led Teaching），引导学生从真实临床情境出发，掌握从临床问题提出到临床决策制定的完整流程。</w:t>
      </w:r>
    </w:p>
    <w:p w14:paraId="458F109A">
      <w:pPr>
        <w:keepNext w:val="0"/>
        <w:keepLines w:val="0"/>
        <w:pageBreakBefore w:val="0"/>
        <w:kinsoku/>
        <w:wordWrap/>
        <w:overflowPunct/>
        <w:topLinePunct w:val="0"/>
        <w:bidi w:val="0"/>
        <w:snapToGrid/>
        <w:spacing w:afterAutospacing="0" w:line="24" w:lineRule="atLeast"/>
        <w:textAlignment w:val="auto"/>
        <w:rPr>
          <w:rFonts w:ascii="宋体" w:hAnsi="宋体" w:eastAsia="宋体"/>
          <w:color w:val="1F2225"/>
          <w:szCs w:val="21"/>
        </w:rPr>
      </w:pPr>
      <w:r>
        <w:rPr>
          <w:rFonts w:ascii="宋体" w:hAnsi="宋体" w:eastAsia="宋体"/>
          <w:color w:val="1F2225"/>
          <w:szCs w:val="21"/>
        </w:rPr>
        <w:t>学生将在导师指导下实操国际权威数据库与证据搜索引擎，学习检索技巧与偏倚识别方法，提升高效查找与甄别证据的能力。课程围绕诊断、治疗与预后三大临床环节，深入解析不同证据类型与质量，并借助可视化工具帮助学生理解统计学核心概念，将抽象数据转化为直观的临床价值。</w:t>
      </w:r>
    </w:p>
    <w:p w14:paraId="642BDCE8">
      <w:pPr>
        <w:keepNext w:val="0"/>
        <w:keepLines w:val="0"/>
        <w:pageBreakBefore w:val="0"/>
        <w:kinsoku/>
        <w:wordWrap/>
        <w:overflowPunct/>
        <w:topLinePunct w:val="0"/>
        <w:bidi w:val="0"/>
        <w:snapToGrid/>
        <w:spacing w:afterAutospacing="0" w:line="24" w:lineRule="atLeast"/>
        <w:textAlignment w:val="auto"/>
        <w:rPr>
          <w:rFonts w:ascii="宋体" w:hAnsi="宋体" w:eastAsia="宋体"/>
          <w:color w:val="1F2225"/>
          <w:szCs w:val="21"/>
        </w:rPr>
      </w:pPr>
    </w:p>
    <w:p w14:paraId="1C7CAAAE">
      <w:pPr>
        <w:pStyle w:val="18"/>
        <w:keepNext w:val="0"/>
        <w:keepLines w:val="0"/>
        <w:pageBreakBefore w:val="0"/>
        <w:kinsoku/>
        <w:wordWrap/>
        <w:overflowPunct/>
        <w:topLinePunct w:val="0"/>
        <w:bidi w:val="0"/>
        <w:snapToGrid/>
        <w:spacing w:before="0" w:beforeAutospacing="0" w:after="0" w:afterAutospacing="0" w:line="24" w:lineRule="atLeast"/>
        <w:textAlignment w:val="auto"/>
        <w:rPr>
          <w:rFonts w:ascii="宋体" w:hAnsi="宋体" w:eastAsia="宋体"/>
          <w:sz w:val="21"/>
          <w:szCs w:val="21"/>
          <w:u w:val="single"/>
          <w:lang w:eastAsia="zh-CN"/>
        </w:rPr>
      </w:pPr>
      <w:r>
        <w:rPr>
          <w:rFonts w:hint="eastAsia" w:ascii="宋体" w:hAnsi="宋体" w:eastAsia="宋体"/>
          <w:bCs/>
          <w:color w:val="1F2225"/>
          <w:sz w:val="21"/>
          <w:szCs w:val="21"/>
          <w:u w:val="single"/>
          <w:lang w:eastAsia="zh-CN"/>
        </w:rPr>
        <w:t>模块三、</w:t>
      </w:r>
      <w:r>
        <w:rPr>
          <w:rFonts w:ascii="宋体" w:hAnsi="宋体" w:eastAsia="宋体"/>
          <w:bCs/>
          <w:color w:val="1F2225"/>
          <w:sz w:val="21"/>
          <w:szCs w:val="21"/>
          <w:u w:val="single"/>
          <w:lang w:eastAsia="zh-CN"/>
        </w:rPr>
        <w:t>牛津医学院官方网络课程</w:t>
      </w:r>
    </w:p>
    <w:p w14:paraId="75AC9AAB">
      <w:pPr>
        <w:keepNext w:val="0"/>
        <w:keepLines w:val="0"/>
        <w:pageBreakBefore w:val="0"/>
        <w:kinsoku/>
        <w:wordWrap/>
        <w:overflowPunct/>
        <w:topLinePunct w:val="0"/>
        <w:bidi w:val="0"/>
        <w:snapToGrid/>
        <w:spacing w:beforeAutospacing="0" w:afterAutospacing="0" w:line="24" w:lineRule="atLeast"/>
        <w:textAlignment w:val="auto"/>
        <w:rPr>
          <w:rFonts w:ascii="宋体" w:hAnsi="宋体" w:eastAsia="宋体"/>
          <w:color w:val="1F2225"/>
          <w:szCs w:val="21"/>
        </w:rPr>
      </w:pPr>
      <w:r>
        <w:rPr>
          <w:rFonts w:ascii="宋体" w:hAnsi="宋体" w:eastAsia="宋体"/>
          <w:color w:val="1F2225"/>
          <w:szCs w:val="21"/>
        </w:rPr>
        <w:t>学生将在项目期间系统融入牛津医学院官方线上课程体系，在为期六周的学习周期内，围绕循证医学核心主题开展结构化自主学习。课程内容与线下教学形成有机衔接，涵盖专题导读材料、案例拓展模块及延伸阅读资源，帮助学生在课前建立知识框架、课中深化理解、课后完成系统整合。完成全部学习要求后，将获得官方课程学习证明。</w:t>
      </w:r>
    </w:p>
    <w:p w14:paraId="64E02C1D">
      <w:pPr>
        <w:keepNext w:val="0"/>
        <w:keepLines w:val="0"/>
        <w:pageBreakBefore w:val="0"/>
        <w:kinsoku/>
        <w:wordWrap/>
        <w:overflowPunct/>
        <w:topLinePunct w:val="0"/>
        <w:bidi w:val="0"/>
        <w:snapToGrid/>
        <w:spacing w:beforeAutospacing="0" w:afterAutospacing="0" w:line="24" w:lineRule="atLeast"/>
        <w:textAlignment w:val="auto"/>
        <w:rPr>
          <w:rFonts w:ascii="宋体" w:hAnsi="宋体" w:eastAsia="宋体"/>
          <w:color w:val="1F2225"/>
          <w:szCs w:val="21"/>
        </w:rPr>
      </w:pPr>
    </w:p>
    <w:p w14:paraId="79B67A91">
      <w:pPr>
        <w:pStyle w:val="18"/>
        <w:keepNext w:val="0"/>
        <w:keepLines w:val="0"/>
        <w:pageBreakBefore w:val="0"/>
        <w:kinsoku/>
        <w:wordWrap/>
        <w:overflowPunct/>
        <w:topLinePunct w:val="0"/>
        <w:bidi w:val="0"/>
        <w:snapToGrid/>
        <w:spacing w:before="0" w:beforeAutospacing="0" w:after="0" w:afterAutospacing="0" w:line="24" w:lineRule="atLeast"/>
        <w:textAlignment w:val="auto"/>
        <w:rPr>
          <w:rFonts w:ascii="宋体" w:hAnsi="宋体" w:eastAsia="宋体"/>
          <w:sz w:val="21"/>
          <w:szCs w:val="21"/>
          <w:u w:val="single"/>
          <w:lang w:eastAsia="zh-CN"/>
        </w:rPr>
      </w:pPr>
      <w:r>
        <w:rPr>
          <w:rFonts w:hint="eastAsia" w:ascii="宋体" w:hAnsi="宋体" w:eastAsia="宋体"/>
          <w:bCs/>
          <w:color w:val="1F2225"/>
          <w:sz w:val="21"/>
          <w:szCs w:val="21"/>
          <w:u w:val="single"/>
          <w:lang w:eastAsia="zh-CN"/>
        </w:rPr>
        <w:t>模块四、</w:t>
      </w:r>
      <w:r>
        <w:rPr>
          <w:rFonts w:ascii="宋体" w:hAnsi="宋体" w:eastAsia="宋体"/>
          <w:bCs/>
          <w:color w:val="1F2225"/>
          <w:sz w:val="21"/>
          <w:szCs w:val="21"/>
          <w:u w:val="single"/>
          <w:lang w:eastAsia="zh-CN"/>
        </w:rPr>
        <w:t>临床技能工作坊</w:t>
      </w:r>
    </w:p>
    <w:p w14:paraId="688914F8">
      <w:pPr>
        <w:keepNext w:val="0"/>
        <w:keepLines w:val="0"/>
        <w:pageBreakBefore w:val="0"/>
        <w:widowControl/>
        <w:numPr>
          <w:ilvl w:val="0"/>
          <w:numId w:val="3"/>
        </w:numPr>
        <w:kinsoku/>
        <w:wordWrap/>
        <w:overflowPunct/>
        <w:topLinePunct w:val="0"/>
        <w:bidi w:val="0"/>
        <w:snapToGrid/>
        <w:spacing w:beforeAutospacing="0" w:afterAutospacing="0" w:line="24" w:lineRule="atLeast"/>
        <w:ind w:left="284" w:hanging="284"/>
        <w:jc w:val="left"/>
        <w:textAlignment w:val="auto"/>
        <w:rPr>
          <w:rFonts w:ascii="宋体" w:hAnsi="宋体" w:eastAsia="宋体"/>
          <w:szCs w:val="21"/>
        </w:rPr>
      </w:pPr>
      <w:r>
        <w:rPr>
          <w:rFonts w:ascii="宋体" w:hAnsi="宋体" w:eastAsia="宋体"/>
          <w:color w:val="1F2225"/>
          <w:szCs w:val="21"/>
        </w:rPr>
        <w:t>患者沟通技巧训练工作坊</w:t>
      </w:r>
    </w:p>
    <w:p w14:paraId="6DF65784">
      <w:pPr>
        <w:keepNext w:val="0"/>
        <w:keepLines w:val="0"/>
        <w:pageBreakBefore w:val="0"/>
        <w:kinsoku/>
        <w:wordWrap/>
        <w:overflowPunct/>
        <w:topLinePunct w:val="0"/>
        <w:bidi w:val="0"/>
        <w:snapToGrid/>
        <w:spacing w:beforeAutospacing="0" w:afterAutospacing="0" w:line="24" w:lineRule="atLeast"/>
        <w:textAlignment w:val="auto"/>
        <w:rPr>
          <w:rFonts w:ascii="宋体" w:hAnsi="宋体" w:eastAsia="宋体"/>
          <w:szCs w:val="21"/>
        </w:rPr>
      </w:pPr>
      <w:r>
        <w:rPr>
          <w:rFonts w:ascii="宋体" w:hAnsi="宋体" w:eastAsia="宋体"/>
          <w:color w:val="1F2225"/>
          <w:szCs w:val="21"/>
        </w:rPr>
        <w:t>学生将与不同类型的“模拟患者”进行情景对话。课程将重点训练学生在交流中掌握对话主动权、精准捕捉关键信息，学习运用 SPIKES 模型完成“坏消息告知”，以及如何在患者沟通中展现专业性、同理心与人文关怀，提升临床沟通的深度与温度。</w:t>
      </w:r>
    </w:p>
    <w:p w14:paraId="1E885299">
      <w:pPr>
        <w:keepNext w:val="0"/>
        <w:keepLines w:val="0"/>
        <w:pageBreakBefore w:val="0"/>
        <w:widowControl/>
        <w:numPr>
          <w:ilvl w:val="0"/>
          <w:numId w:val="3"/>
        </w:numPr>
        <w:kinsoku/>
        <w:wordWrap/>
        <w:overflowPunct/>
        <w:topLinePunct w:val="0"/>
        <w:bidi w:val="0"/>
        <w:snapToGrid/>
        <w:spacing w:beforeAutospacing="0" w:afterAutospacing="0" w:line="24" w:lineRule="atLeast"/>
        <w:ind w:left="284" w:hanging="284"/>
        <w:jc w:val="left"/>
        <w:textAlignment w:val="auto"/>
        <w:rPr>
          <w:rFonts w:ascii="宋体" w:hAnsi="宋体" w:eastAsia="宋体"/>
          <w:szCs w:val="21"/>
        </w:rPr>
      </w:pPr>
      <w:r>
        <w:rPr>
          <w:rFonts w:ascii="宋体" w:hAnsi="宋体" w:eastAsia="宋体"/>
          <w:color w:val="1F2225"/>
          <w:szCs w:val="21"/>
        </w:rPr>
        <w:t>临床领导力提升工作坊</w:t>
      </w:r>
    </w:p>
    <w:p w14:paraId="6ED583EE">
      <w:pPr>
        <w:keepNext w:val="0"/>
        <w:keepLines w:val="0"/>
        <w:pageBreakBefore w:val="0"/>
        <w:kinsoku/>
        <w:wordWrap/>
        <w:overflowPunct/>
        <w:topLinePunct w:val="0"/>
        <w:bidi w:val="0"/>
        <w:snapToGrid/>
        <w:spacing w:afterAutospacing="0" w:line="24" w:lineRule="atLeast"/>
        <w:textAlignment w:val="auto"/>
        <w:rPr>
          <w:rFonts w:ascii="宋体" w:hAnsi="宋体" w:eastAsia="宋体"/>
          <w:color w:val="1F2225"/>
          <w:szCs w:val="21"/>
        </w:rPr>
      </w:pPr>
      <w:r>
        <w:rPr>
          <w:rFonts w:ascii="宋体" w:hAnsi="宋体" w:eastAsia="宋体"/>
          <w:color w:val="1F2225"/>
          <w:szCs w:val="21"/>
        </w:rPr>
        <w:t>学生将通过真实临床案例讨论与情境模拟，学习医生在多学科团队（MDT）中的角色定位与领导职责，理解在复杂医疗环境中如何进行有效决策与团队协调。课程将重点训练学生在高压情境下的沟通组织能力、冲突管理能力与风险评估意识，并引导其运用结构化决策框架进行问题分析与资源整合，以提升临床实践中的系统思维能力与责任担当意识。</w:t>
      </w:r>
    </w:p>
    <w:p w14:paraId="782ED6C3">
      <w:pPr>
        <w:keepNext w:val="0"/>
        <w:keepLines w:val="0"/>
        <w:pageBreakBefore w:val="0"/>
        <w:kinsoku/>
        <w:wordWrap/>
        <w:overflowPunct/>
        <w:topLinePunct w:val="0"/>
        <w:bidi w:val="0"/>
        <w:snapToGrid/>
        <w:spacing w:afterAutospacing="0" w:line="24" w:lineRule="atLeast"/>
        <w:textAlignment w:val="auto"/>
        <w:rPr>
          <w:rFonts w:ascii="宋体" w:hAnsi="宋体" w:eastAsia="宋体"/>
          <w:color w:val="1F2225"/>
          <w:szCs w:val="21"/>
        </w:rPr>
      </w:pPr>
    </w:p>
    <w:p w14:paraId="10334530">
      <w:pPr>
        <w:pStyle w:val="18"/>
        <w:keepNext w:val="0"/>
        <w:keepLines w:val="0"/>
        <w:pageBreakBefore w:val="0"/>
        <w:kinsoku/>
        <w:wordWrap/>
        <w:overflowPunct/>
        <w:topLinePunct w:val="0"/>
        <w:bidi w:val="0"/>
        <w:snapToGrid/>
        <w:spacing w:before="0" w:beforeAutospacing="0" w:after="0" w:afterAutospacing="0" w:line="24" w:lineRule="atLeast"/>
        <w:textAlignment w:val="auto"/>
        <w:rPr>
          <w:rFonts w:ascii="宋体" w:hAnsi="宋体" w:eastAsia="宋体"/>
          <w:sz w:val="21"/>
          <w:szCs w:val="21"/>
          <w:u w:val="single"/>
          <w:lang w:eastAsia="zh-CN"/>
        </w:rPr>
      </w:pPr>
      <w:r>
        <w:rPr>
          <w:rFonts w:hint="eastAsia" w:ascii="宋体" w:hAnsi="宋体" w:eastAsia="宋体"/>
          <w:bCs/>
          <w:color w:val="1F2225"/>
          <w:sz w:val="21"/>
          <w:szCs w:val="21"/>
          <w:u w:val="single"/>
          <w:lang w:eastAsia="zh-CN"/>
        </w:rPr>
        <w:t>模块五、</w:t>
      </w:r>
      <w:r>
        <w:rPr>
          <w:rFonts w:ascii="宋体" w:hAnsi="宋体" w:eastAsia="宋体"/>
          <w:bCs/>
          <w:color w:val="1F2225"/>
          <w:sz w:val="21"/>
          <w:szCs w:val="21"/>
          <w:u w:val="single"/>
          <w:lang w:eastAsia="zh-CN"/>
        </w:rPr>
        <w:t>学术成长工作坊</w:t>
      </w:r>
    </w:p>
    <w:p w14:paraId="19F20281">
      <w:pPr>
        <w:keepNext w:val="0"/>
        <w:keepLines w:val="0"/>
        <w:pageBreakBefore w:val="0"/>
        <w:widowControl/>
        <w:numPr>
          <w:ilvl w:val="0"/>
          <w:numId w:val="3"/>
        </w:numPr>
        <w:kinsoku/>
        <w:wordWrap/>
        <w:overflowPunct/>
        <w:topLinePunct w:val="0"/>
        <w:bidi w:val="0"/>
        <w:snapToGrid/>
        <w:spacing w:beforeAutospacing="0" w:afterAutospacing="0" w:line="24" w:lineRule="atLeast"/>
        <w:ind w:left="284" w:hanging="284"/>
        <w:jc w:val="left"/>
        <w:textAlignment w:val="auto"/>
        <w:rPr>
          <w:rFonts w:ascii="宋体" w:hAnsi="宋体" w:eastAsia="宋体"/>
          <w:szCs w:val="21"/>
        </w:rPr>
      </w:pPr>
      <w:r>
        <w:rPr>
          <w:rFonts w:ascii="宋体" w:hAnsi="宋体" w:eastAsia="宋体"/>
          <w:color w:val="1F2225"/>
          <w:szCs w:val="21"/>
        </w:rPr>
        <w:t>学术阅读·写作·演讲训练工作坊</w:t>
      </w:r>
    </w:p>
    <w:p w14:paraId="7456CDF3">
      <w:pPr>
        <w:keepNext w:val="0"/>
        <w:keepLines w:val="0"/>
        <w:pageBreakBefore w:val="0"/>
        <w:kinsoku/>
        <w:wordWrap/>
        <w:overflowPunct/>
        <w:topLinePunct w:val="0"/>
        <w:bidi w:val="0"/>
        <w:snapToGrid/>
        <w:spacing w:beforeAutospacing="0" w:afterAutospacing="0" w:line="24" w:lineRule="atLeast"/>
        <w:textAlignment w:val="auto"/>
        <w:rPr>
          <w:rFonts w:ascii="宋体" w:hAnsi="宋体" w:eastAsia="宋体"/>
          <w:szCs w:val="21"/>
        </w:rPr>
      </w:pPr>
      <w:r>
        <w:rPr>
          <w:rFonts w:ascii="宋体" w:hAnsi="宋体" w:eastAsia="宋体"/>
          <w:color w:val="1F2225"/>
          <w:szCs w:val="21"/>
        </w:rPr>
        <w:t>学生将系统学习学术文献阅读方法与写作规范，通过互动游戏与情景活动掌握面对公众演讲的技巧。课程重点强调如何清晰、有效地表达复杂的学术概念，并培养学生的学术表达自信与逻辑思维能力。学生不仅能提升英文学术写作的准确性和结构性，还将学会在学术汇报中吸引并保持听众注意力，为未来的学术研究与国际交流奠定坚实基础。</w:t>
      </w:r>
    </w:p>
    <w:p w14:paraId="4127E13B">
      <w:pPr>
        <w:keepNext w:val="0"/>
        <w:keepLines w:val="0"/>
        <w:pageBreakBefore w:val="0"/>
        <w:widowControl/>
        <w:numPr>
          <w:ilvl w:val="0"/>
          <w:numId w:val="3"/>
        </w:numPr>
        <w:kinsoku/>
        <w:wordWrap/>
        <w:overflowPunct/>
        <w:topLinePunct w:val="0"/>
        <w:bidi w:val="0"/>
        <w:snapToGrid/>
        <w:spacing w:beforeAutospacing="0" w:afterAutospacing="0" w:line="24" w:lineRule="atLeast"/>
        <w:ind w:left="284" w:hanging="284"/>
        <w:jc w:val="left"/>
        <w:textAlignment w:val="auto"/>
        <w:rPr>
          <w:rFonts w:ascii="宋体" w:hAnsi="宋体" w:eastAsia="宋体"/>
          <w:szCs w:val="21"/>
        </w:rPr>
      </w:pPr>
      <w:r>
        <w:rPr>
          <w:rFonts w:ascii="宋体" w:hAnsi="宋体" w:eastAsia="宋体"/>
          <w:color w:val="1F2225"/>
          <w:szCs w:val="21"/>
        </w:rPr>
        <w:t>研究生申请·模拟面试工作坊</w:t>
      </w:r>
    </w:p>
    <w:p w14:paraId="31F87B50">
      <w:pPr>
        <w:keepNext w:val="0"/>
        <w:keepLines w:val="0"/>
        <w:pageBreakBefore w:val="0"/>
        <w:kinsoku/>
        <w:wordWrap/>
        <w:overflowPunct/>
        <w:topLinePunct w:val="0"/>
        <w:bidi w:val="0"/>
        <w:snapToGrid/>
        <w:spacing w:beforeAutospacing="0" w:afterAutospacing="0" w:line="24" w:lineRule="atLeast"/>
        <w:textAlignment w:val="auto"/>
        <w:rPr>
          <w:rFonts w:ascii="宋体" w:hAnsi="宋体" w:eastAsia="宋体"/>
          <w:color w:val="1F2225"/>
          <w:szCs w:val="21"/>
        </w:rPr>
      </w:pPr>
      <w:r>
        <w:rPr>
          <w:rFonts w:ascii="宋体" w:hAnsi="宋体" w:eastAsia="宋体"/>
          <w:color w:val="1F2225"/>
          <w:szCs w:val="21"/>
        </w:rPr>
        <w:t>导师将会向学生介绍申请英国研究生、奖学金（针对中国学生）的相关要求和流程、时间规划及注意事项，并深入剖析面试官的关注重点。通过模拟面试环节，学生将锻炼如何精准展示自身优势与学术潜力，在真实情境中积累经验与自信。</w:t>
      </w:r>
    </w:p>
    <w:p w14:paraId="5ADF6CF1">
      <w:pPr>
        <w:keepNext w:val="0"/>
        <w:keepLines w:val="0"/>
        <w:pageBreakBefore w:val="0"/>
        <w:kinsoku/>
        <w:wordWrap/>
        <w:overflowPunct/>
        <w:topLinePunct w:val="0"/>
        <w:bidi w:val="0"/>
        <w:snapToGrid/>
        <w:spacing w:beforeAutospacing="0" w:afterAutospacing="0" w:line="24" w:lineRule="atLeast"/>
        <w:textAlignment w:val="auto"/>
        <w:rPr>
          <w:rFonts w:ascii="宋体" w:hAnsi="宋体" w:eastAsia="宋体"/>
          <w:color w:val="1F2225"/>
          <w:szCs w:val="21"/>
        </w:rPr>
      </w:pPr>
    </w:p>
    <w:p w14:paraId="249F6E9A">
      <w:pPr>
        <w:pStyle w:val="18"/>
        <w:keepNext w:val="0"/>
        <w:keepLines w:val="0"/>
        <w:pageBreakBefore w:val="0"/>
        <w:kinsoku/>
        <w:wordWrap/>
        <w:overflowPunct/>
        <w:topLinePunct w:val="0"/>
        <w:bidi w:val="0"/>
        <w:snapToGrid/>
        <w:spacing w:before="0" w:beforeAutospacing="0" w:after="0" w:afterAutospacing="0" w:line="24" w:lineRule="atLeast"/>
        <w:textAlignment w:val="auto"/>
        <w:rPr>
          <w:rFonts w:ascii="宋体" w:hAnsi="宋体" w:eastAsia="宋体"/>
          <w:sz w:val="21"/>
          <w:szCs w:val="21"/>
          <w:u w:val="single"/>
          <w:lang w:eastAsia="zh-CN"/>
        </w:rPr>
      </w:pPr>
      <w:r>
        <w:rPr>
          <w:rFonts w:hint="eastAsia" w:ascii="宋体" w:hAnsi="宋体" w:eastAsia="宋体"/>
          <w:bCs/>
          <w:color w:val="1F2225"/>
          <w:sz w:val="21"/>
          <w:szCs w:val="21"/>
          <w:u w:val="single"/>
          <w:lang w:eastAsia="zh-CN"/>
        </w:rPr>
        <w:t>模块六、</w:t>
      </w:r>
      <w:r>
        <w:rPr>
          <w:rFonts w:ascii="宋体" w:hAnsi="宋体" w:eastAsia="宋体"/>
          <w:bCs/>
          <w:color w:val="1F2225"/>
          <w:sz w:val="21"/>
          <w:szCs w:val="21"/>
          <w:u w:val="single"/>
          <w:lang w:eastAsia="zh-CN"/>
        </w:rPr>
        <w:t>医学主题辩论赛</w:t>
      </w:r>
    </w:p>
    <w:p w14:paraId="1362C8D0">
      <w:pPr>
        <w:keepNext w:val="0"/>
        <w:keepLines w:val="0"/>
        <w:pageBreakBefore w:val="0"/>
        <w:kinsoku/>
        <w:wordWrap/>
        <w:overflowPunct/>
        <w:topLinePunct w:val="0"/>
        <w:bidi w:val="0"/>
        <w:snapToGrid/>
        <w:spacing w:beforeAutospacing="0" w:afterAutospacing="0" w:line="24" w:lineRule="atLeast"/>
        <w:textAlignment w:val="auto"/>
        <w:rPr>
          <w:rFonts w:ascii="宋体" w:hAnsi="宋体" w:eastAsia="宋体"/>
          <w:color w:val="1F2225"/>
          <w:szCs w:val="21"/>
        </w:rPr>
      </w:pPr>
      <w:r>
        <w:rPr>
          <w:rFonts w:ascii="宋体" w:hAnsi="宋体" w:eastAsia="宋体"/>
          <w:color w:val="1F2225"/>
          <w:szCs w:val="21"/>
        </w:rPr>
        <w:t>导师将组织学生围绕热门医学议题、医学伦理与技术革新展开高水平辩论赛，不仅锻炼学生的证据检索实践、批判性思维、逻辑推理能力与英文口语表达，还帮助他们在多元观点的碰撞中加深对医学伦理与社会责任的理解。</w:t>
      </w:r>
    </w:p>
    <w:p w14:paraId="4FC2376B">
      <w:pPr>
        <w:keepNext w:val="0"/>
        <w:keepLines w:val="0"/>
        <w:pageBreakBefore w:val="0"/>
        <w:kinsoku/>
        <w:wordWrap/>
        <w:overflowPunct/>
        <w:topLinePunct w:val="0"/>
        <w:bidi w:val="0"/>
        <w:snapToGrid/>
        <w:spacing w:beforeAutospacing="0" w:afterAutospacing="0" w:line="24" w:lineRule="atLeast"/>
        <w:textAlignment w:val="auto"/>
        <w:rPr>
          <w:rFonts w:ascii="宋体" w:hAnsi="宋体" w:eastAsia="宋体"/>
          <w:color w:val="1F2225"/>
          <w:szCs w:val="21"/>
        </w:rPr>
      </w:pPr>
    </w:p>
    <w:p w14:paraId="4FBE9640">
      <w:pPr>
        <w:pStyle w:val="18"/>
        <w:keepNext w:val="0"/>
        <w:keepLines w:val="0"/>
        <w:pageBreakBefore w:val="0"/>
        <w:kinsoku/>
        <w:wordWrap/>
        <w:overflowPunct/>
        <w:topLinePunct w:val="0"/>
        <w:bidi w:val="0"/>
        <w:snapToGrid/>
        <w:spacing w:before="0" w:beforeAutospacing="0" w:after="0" w:afterAutospacing="0" w:line="24" w:lineRule="atLeast"/>
        <w:textAlignment w:val="auto"/>
        <w:rPr>
          <w:rFonts w:ascii="宋体" w:hAnsi="宋体" w:eastAsia="宋体"/>
          <w:sz w:val="21"/>
          <w:szCs w:val="21"/>
          <w:u w:val="single"/>
          <w:lang w:eastAsia="zh-CN"/>
        </w:rPr>
      </w:pPr>
      <w:r>
        <w:rPr>
          <w:rFonts w:hint="eastAsia" w:ascii="宋体" w:hAnsi="宋体" w:eastAsia="宋体"/>
          <w:bCs/>
          <w:color w:val="1F2225"/>
          <w:sz w:val="21"/>
          <w:szCs w:val="21"/>
          <w:u w:val="single"/>
          <w:lang w:eastAsia="zh-CN"/>
        </w:rPr>
        <w:t>模块七、</w:t>
      </w:r>
      <w:r>
        <w:rPr>
          <w:rFonts w:ascii="宋体" w:hAnsi="宋体" w:eastAsia="宋体"/>
          <w:bCs/>
          <w:color w:val="1F2225"/>
          <w:sz w:val="21"/>
          <w:szCs w:val="21"/>
          <w:u w:val="single"/>
          <w:lang w:eastAsia="zh-CN"/>
        </w:rPr>
        <w:t>医疗科研机构参访</w:t>
      </w:r>
    </w:p>
    <w:p w14:paraId="5D96E20D">
      <w:pPr>
        <w:keepNext w:val="0"/>
        <w:keepLines w:val="0"/>
        <w:pageBreakBefore w:val="0"/>
        <w:kinsoku/>
        <w:wordWrap/>
        <w:overflowPunct/>
        <w:topLinePunct w:val="0"/>
        <w:bidi w:val="0"/>
        <w:snapToGrid/>
        <w:spacing w:beforeAutospacing="0" w:afterAutospacing="0" w:line="24" w:lineRule="atLeast"/>
        <w:textAlignment w:val="auto"/>
        <w:rPr>
          <w:rFonts w:ascii="宋体" w:hAnsi="宋体" w:eastAsia="宋体"/>
          <w:color w:val="1F2225"/>
          <w:szCs w:val="21"/>
        </w:rPr>
      </w:pPr>
      <w:r>
        <w:rPr>
          <w:rFonts w:ascii="宋体" w:hAnsi="宋体" w:eastAsia="宋体"/>
          <w:color w:val="1F2225"/>
          <w:szCs w:val="21"/>
        </w:rPr>
        <w:t>学生将有机会参访 NHS体系医疗机构（医院、临床中心等）、生物医学实验室或科研创新企（具体参访地点将视项目期间的开放情况安排），直观了解英国医疗与科研领域的运作模式与前沿技术，感受全球领先的医疗体系与科研环境。</w:t>
      </w:r>
    </w:p>
    <w:p w14:paraId="67380729">
      <w:pPr>
        <w:keepNext w:val="0"/>
        <w:keepLines w:val="0"/>
        <w:pageBreakBefore w:val="0"/>
        <w:kinsoku/>
        <w:wordWrap/>
        <w:overflowPunct/>
        <w:topLinePunct w:val="0"/>
        <w:bidi w:val="0"/>
        <w:snapToGrid/>
        <w:spacing w:beforeAutospacing="0" w:afterAutospacing="0" w:line="24" w:lineRule="atLeast"/>
        <w:textAlignment w:val="auto"/>
        <w:rPr>
          <w:rFonts w:ascii="宋体" w:hAnsi="宋体" w:eastAsia="宋体"/>
          <w:color w:val="1F2225"/>
          <w:szCs w:val="21"/>
        </w:rPr>
      </w:pPr>
    </w:p>
    <w:p w14:paraId="006AED89">
      <w:pPr>
        <w:pStyle w:val="18"/>
        <w:keepNext w:val="0"/>
        <w:keepLines w:val="0"/>
        <w:pageBreakBefore w:val="0"/>
        <w:kinsoku/>
        <w:wordWrap/>
        <w:overflowPunct/>
        <w:topLinePunct w:val="0"/>
        <w:bidi w:val="0"/>
        <w:snapToGrid/>
        <w:spacing w:before="0" w:beforeAutospacing="0" w:after="0" w:afterAutospacing="0" w:line="24" w:lineRule="atLeast"/>
        <w:textAlignment w:val="auto"/>
        <w:rPr>
          <w:rFonts w:ascii="宋体" w:hAnsi="宋体" w:eastAsia="宋体"/>
          <w:sz w:val="21"/>
          <w:szCs w:val="21"/>
          <w:u w:val="single"/>
        </w:rPr>
      </w:pPr>
      <w:r>
        <w:rPr>
          <w:rFonts w:hint="eastAsia" w:ascii="宋体" w:hAnsi="宋体" w:eastAsia="宋体"/>
          <w:bCs/>
          <w:color w:val="1F2225"/>
          <w:sz w:val="21"/>
          <w:szCs w:val="21"/>
          <w:u w:val="single"/>
          <w:lang w:eastAsia="zh-CN"/>
        </w:rPr>
        <w:t>模块八、</w:t>
      </w:r>
      <w:r>
        <w:rPr>
          <w:rFonts w:ascii="宋体" w:hAnsi="宋体" w:eastAsia="宋体"/>
          <w:bCs/>
          <w:color w:val="1F2225"/>
          <w:sz w:val="21"/>
          <w:szCs w:val="21"/>
          <w:u w:val="single"/>
        </w:rPr>
        <w:t>G5名校参访</w:t>
      </w:r>
    </w:p>
    <w:p w14:paraId="212747F6">
      <w:pPr>
        <w:keepNext w:val="0"/>
        <w:keepLines w:val="0"/>
        <w:pageBreakBefore w:val="0"/>
        <w:kinsoku/>
        <w:wordWrap/>
        <w:overflowPunct/>
        <w:topLinePunct w:val="0"/>
        <w:bidi w:val="0"/>
        <w:snapToGrid/>
        <w:spacing w:beforeAutospacing="0" w:line="24" w:lineRule="atLeast"/>
        <w:textAlignment w:val="auto"/>
        <w:rPr>
          <w:rFonts w:ascii="宋体" w:hAnsi="宋体" w:eastAsia="宋体"/>
          <w:szCs w:val="21"/>
        </w:rPr>
      </w:pPr>
      <w:r>
        <w:rPr>
          <w:rFonts w:ascii="宋体" w:hAnsi="宋体" w:eastAsia="宋体"/>
          <w:color w:val="1F2225"/>
          <w:szCs w:val="21"/>
        </w:rPr>
        <w:t>学生将走进帝国理工学院（Imperial College London）或伦敦大学学院（University College London）等世界顶尖学府，</w:t>
      </w:r>
      <w:r>
        <w:rPr>
          <w:rFonts w:ascii="宋体" w:hAnsi="宋体" w:eastAsia="宋体"/>
          <w:b/>
          <w:bCs/>
          <w:color w:val="1F2225"/>
          <w:szCs w:val="21"/>
        </w:rPr>
        <w:t>由在校生或校友亲自带领参观校园</w:t>
      </w:r>
      <w:r>
        <w:rPr>
          <w:rFonts w:ascii="宋体" w:hAnsi="宋体" w:eastAsia="宋体"/>
          <w:color w:val="1F2225"/>
          <w:szCs w:val="21"/>
        </w:rPr>
        <w:t>、介绍学术资源与学习生活。学生不仅能深入了解英国高等教育体系与科研优势，还将与名校学子面对面交流，获得关于国际申请、学术规划及职业发展的宝贵第一手信息。</w:t>
      </w:r>
    </w:p>
    <w:p w14:paraId="7B005BC4">
      <w:pPr>
        <w:keepNext w:val="0"/>
        <w:keepLines w:val="0"/>
        <w:pageBreakBefore w:val="0"/>
        <w:kinsoku/>
        <w:wordWrap/>
        <w:overflowPunct/>
        <w:topLinePunct w:val="0"/>
        <w:bidi w:val="0"/>
        <w:snapToGrid/>
        <w:spacing w:afterAutospacing="0" w:line="24" w:lineRule="atLeast"/>
        <w:textAlignment w:val="auto"/>
        <w:rPr>
          <w:rFonts w:ascii="宋体" w:hAnsi="宋体" w:eastAsia="宋体"/>
          <w:color w:val="1F2225"/>
          <w:szCs w:val="21"/>
        </w:rPr>
      </w:pPr>
      <w:r>
        <w:rPr>
          <w:rFonts w:hint="eastAsia" w:ascii="宋体" w:hAnsi="宋体" w:eastAsia="宋体"/>
          <w:color w:val="1F2225"/>
          <w:szCs w:val="21"/>
        </w:rPr>
        <w:t>*</w:t>
      </w:r>
      <w:r>
        <w:rPr>
          <w:rFonts w:ascii="宋体" w:hAnsi="宋体" w:eastAsia="宋体"/>
          <w:color w:val="1F2225"/>
          <w:szCs w:val="21"/>
        </w:rPr>
        <w:t>具体参访院校海外可根据学校实际安排做调整</w:t>
      </w:r>
    </w:p>
    <w:p w14:paraId="579B03FA">
      <w:pPr>
        <w:keepNext w:val="0"/>
        <w:keepLines w:val="0"/>
        <w:pageBreakBefore w:val="0"/>
        <w:kinsoku/>
        <w:wordWrap/>
        <w:overflowPunct/>
        <w:topLinePunct w:val="0"/>
        <w:bidi w:val="0"/>
        <w:snapToGrid/>
        <w:spacing w:afterAutospacing="0" w:line="24" w:lineRule="atLeast"/>
        <w:textAlignment w:val="auto"/>
        <w:rPr>
          <w:rFonts w:ascii="宋体" w:hAnsi="宋体" w:eastAsia="宋体"/>
          <w:color w:val="1F2225"/>
          <w:szCs w:val="21"/>
        </w:rPr>
      </w:pPr>
    </w:p>
    <w:p w14:paraId="57CD6AC5">
      <w:pPr>
        <w:pStyle w:val="18"/>
        <w:keepNext w:val="0"/>
        <w:keepLines w:val="0"/>
        <w:pageBreakBefore w:val="0"/>
        <w:kinsoku/>
        <w:wordWrap/>
        <w:overflowPunct/>
        <w:topLinePunct w:val="0"/>
        <w:bidi w:val="0"/>
        <w:snapToGrid/>
        <w:spacing w:before="0" w:beforeAutospacing="0" w:after="0" w:afterAutospacing="0" w:line="24" w:lineRule="atLeast"/>
        <w:textAlignment w:val="auto"/>
        <w:rPr>
          <w:rFonts w:ascii="宋体" w:hAnsi="宋体" w:eastAsia="宋体"/>
          <w:sz w:val="21"/>
          <w:szCs w:val="21"/>
          <w:u w:val="single"/>
          <w:lang w:eastAsia="zh-CN"/>
        </w:rPr>
      </w:pPr>
      <w:r>
        <w:rPr>
          <w:rFonts w:hint="eastAsia" w:ascii="宋体" w:hAnsi="宋体" w:eastAsia="宋体"/>
          <w:bCs/>
          <w:color w:val="1F2225"/>
          <w:sz w:val="21"/>
          <w:szCs w:val="21"/>
          <w:u w:val="single"/>
          <w:lang w:eastAsia="zh-CN"/>
        </w:rPr>
        <w:t>模块九、</w:t>
      </w:r>
      <w:r>
        <w:rPr>
          <w:rFonts w:ascii="宋体" w:hAnsi="宋体" w:eastAsia="宋体"/>
          <w:bCs/>
          <w:color w:val="1F2225"/>
          <w:sz w:val="21"/>
          <w:szCs w:val="21"/>
          <w:u w:val="single"/>
          <w:lang w:eastAsia="zh-CN"/>
        </w:rPr>
        <w:t>沉浸式英伦人文探索</w:t>
      </w:r>
    </w:p>
    <w:p w14:paraId="7E85F3D6">
      <w:pPr>
        <w:keepNext w:val="0"/>
        <w:keepLines w:val="0"/>
        <w:pageBreakBefore w:val="0"/>
        <w:widowControl/>
        <w:numPr>
          <w:ilvl w:val="0"/>
          <w:numId w:val="3"/>
        </w:numPr>
        <w:kinsoku/>
        <w:wordWrap/>
        <w:overflowPunct/>
        <w:topLinePunct w:val="0"/>
        <w:bidi w:val="0"/>
        <w:snapToGrid/>
        <w:spacing w:beforeAutospacing="0" w:afterAutospacing="0" w:line="24" w:lineRule="atLeast"/>
        <w:ind w:left="284" w:hanging="284"/>
        <w:jc w:val="left"/>
        <w:textAlignment w:val="auto"/>
        <w:rPr>
          <w:rFonts w:ascii="宋体" w:hAnsi="宋体" w:eastAsia="宋体"/>
          <w:szCs w:val="21"/>
        </w:rPr>
      </w:pPr>
      <w:r>
        <w:rPr>
          <w:rFonts w:ascii="宋体" w:hAnsi="宋体" w:eastAsia="宋体"/>
          <w:color w:val="1F2225"/>
          <w:szCs w:val="21"/>
        </w:rPr>
        <w:t>英国文化与礼仪体验课</w:t>
      </w:r>
    </w:p>
    <w:p w14:paraId="73E844A3">
      <w:pPr>
        <w:keepNext w:val="0"/>
        <w:keepLines w:val="0"/>
        <w:pageBreakBefore w:val="0"/>
        <w:kinsoku/>
        <w:wordWrap/>
        <w:overflowPunct/>
        <w:topLinePunct w:val="0"/>
        <w:bidi w:val="0"/>
        <w:snapToGrid/>
        <w:spacing w:beforeAutospacing="0" w:afterAutospacing="0" w:line="24" w:lineRule="atLeast"/>
        <w:textAlignment w:val="auto"/>
        <w:rPr>
          <w:rFonts w:ascii="宋体" w:hAnsi="宋体" w:eastAsia="宋体"/>
          <w:szCs w:val="21"/>
        </w:rPr>
      </w:pPr>
      <w:r>
        <w:rPr>
          <w:rFonts w:ascii="宋体" w:hAnsi="宋体" w:eastAsia="宋体"/>
          <w:color w:val="1F2225"/>
          <w:szCs w:val="21"/>
        </w:rPr>
        <w:t>内容涵盖英国社会的文化背景、餐桌与社交礼仪，以及生活习惯与交流方式。通过生动的案例与互动环节，学生不仅能更好地适应英国的学习与生活环境，也能在后续的人文探索与学术交流中展现得更加自信与得体。</w:t>
      </w:r>
    </w:p>
    <w:p w14:paraId="309E10A2">
      <w:pPr>
        <w:keepNext w:val="0"/>
        <w:keepLines w:val="0"/>
        <w:pageBreakBefore w:val="0"/>
        <w:widowControl/>
        <w:numPr>
          <w:ilvl w:val="0"/>
          <w:numId w:val="3"/>
        </w:numPr>
        <w:kinsoku/>
        <w:wordWrap/>
        <w:overflowPunct/>
        <w:topLinePunct w:val="0"/>
        <w:bidi w:val="0"/>
        <w:snapToGrid/>
        <w:spacing w:beforeAutospacing="0" w:afterAutospacing="0" w:line="24" w:lineRule="atLeast"/>
        <w:ind w:left="284" w:hanging="284"/>
        <w:jc w:val="left"/>
        <w:textAlignment w:val="auto"/>
        <w:rPr>
          <w:rFonts w:ascii="宋体" w:hAnsi="宋体" w:eastAsia="宋体"/>
          <w:szCs w:val="21"/>
        </w:rPr>
      </w:pPr>
      <w:r>
        <w:rPr>
          <w:rFonts w:ascii="宋体" w:hAnsi="宋体" w:eastAsia="宋体"/>
          <w:color w:val="1F2225"/>
          <w:szCs w:val="21"/>
        </w:rPr>
        <w:t>牛津大学深度体验</w:t>
      </w:r>
    </w:p>
    <w:p w14:paraId="3AF0F496">
      <w:pPr>
        <w:keepNext w:val="0"/>
        <w:keepLines w:val="0"/>
        <w:pageBreakBefore w:val="0"/>
        <w:kinsoku/>
        <w:wordWrap/>
        <w:overflowPunct/>
        <w:topLinePunct w:val="0"/>
        <w:bidi w:val="0"/>
        <w:snapToGrid/>
        <w:spacing w:beforeAutospacing="0" w:afterAutospacing="0" w:line="24" w:lineRule="atLeast"/>
        <w:textAlignment w:val="auto"/>
        <w:rPr>
          <w:rFonts w:ascii="宋体" w:hAnsi="宋体" w:eastAsia="宋体"/>
          <w:szCs w:val="21"/>
        </w:rPr>
      </w:pPr>
      <w:r>
        <w:rPr>
          <w:rFonts w:ascii="宋体" w:hAnsi="宋体" w:eastAsia="宋体"/>
          <w:color w:val="1F2225"/>
          <w:szCs w:val="21"/>
        </w:rPr>
        <w:t>在牛津当地资深导游带领下，学生将探索牛津这座享誉世界的学术名城，走进历史悠久、风格各异的学院，感受独特的学院制氛围与浓厚的学术传统。参访行程还将涵盖多处《哈利·波特》取景地，以及叹息桥、卡法克斯塔等地标，让学生在漫步古老街道的同时，领略牛津在英国历史与文化中的重要地位。</w:t>
      </w:r>
    </w:p>
    <w:p w14:paraId="48E4013F">
      <w:pPr>
        <w:keepNext w:val="0"/>
        <w:keepLines w:val="0"/>
        <w:pageBreakBefore w:val="0"/>
        <w:widowControl/>
        <w:numPr>
          <w:ilvl w:val="0"/>
          <w:numId w:val="3"/>
        </w:numPr>
        <w:kinsoku/>
        <w:wordWrap/>
        <w:overflowPunct/>
        <w:topLinePunct w:val="0"/>
        <w:bidi w:val="0"/>
        <w:snapToGrid/>
        <w:spacing w:beforeAutospacing="0" w:afterAutospacing="0" w:line="24" w:lineRule="atLeast"/>
        <w:ind w:left="284" w:hanging="284"/>
        <w:jc w:val="left"/>
        <w:textAlignment w:val="auto"/>
        <w:rPr>
          <w:rFonts w:ascii="宋体" w:hAnsi="宋体" w:eastAsia="宋体"/>
          <w:szCs w:val="21"/>
        </w:rPr>
      </w:pPr>
      <w:r>
        <w:rPr>
          <w:rFonts w:ascii="宋体" w:hAnsi="宋体" w:eastAsia="宋体"/>
          <w:color w:val="1F2225"/>
          <w:szCs w:val="21"/>
        </w:rPr>
        <w:t>伦敦城市探索</w:t>
      </w:r>
    </w:p>
    <w:p w14:paraId="6E10B729">
      <w:pPr>
        <w:keepNext w:val="0"/>
        <w:keepLines w:val="0"/>
        <w:pageBreakBefore w:val="0"/>
        <w:kinsoku/>
        <w:wordWrap/>
        <w:overflowPunct/>
        <w:topLinePunct w:val="0"/>
        <w:bidi w:val="0"/>
        <w:snapToGrid/>
        <w:spacing w:beforeAutospacing="0" w:line="24" w:lineRule="atLeast"/>
        <w:textAlignment w:val="auto"/>
        <w:rPr>
          <w:rFonts w:ascii="宋体" w:hAnsi="宋体" w:eastAsia="宋体"/>
          <w:szCs w:val="21"/>
        </w:rPr>
      </w:pPr>
      <w:r>
        <w:rPr>
          <w:rFonts w:ascii="宋体" w:hAnsi="宋体" w:eastAsia="宋体"/>
          <w:color w:val="1F2225"/>
          <w:szCs w:val="21"/>
        </w:rPr>
        <w:t>在这座融合千年历史与当代创新的城市中，学生可以漫步于威斯特敏斯特一带，远眺大本钟与泰晤士河畔的城市天际线；也可以走进大英博物馆或国家美术馆，在世界文明与艺术经典之间展开一场跨越时空的对话。这段城市探索不仅是一次观光之旅，更是一次理解全球化都市结构与多元文化共存方式的实践体验。在历史与现代交织的空间中，学生将以自己的节奏发现伦敦，感受这座城市在政治、艺术、学术与创意产业中的独特影响力。</w:t>
      </w:r>
    </w:p>
    <w:p w14:paraId="124F819B">
      <w:pPr>
        <w:keepNext w:val="0"/>
        <w:keepLines w:val="0"/>
        <w:pageBreakBefore w:val="0"/>
        <w:widowControl/>
        <w:numPr>
          <w:ilvl w:val="0"/>
          <w:numId w:val="3"/>
        </w:numPr>
        <w:kinsoku/>
        <w:wordWrap/>
        <w:overflowPunct/>
        <w:topLinePunct w:val="0"/>
        <w:bidi w:val="0"/>
        <w:snapToGrid/>
        <w:spacing w:before="120" w:afterAutospacing="0" w:line="24" w:lineRule="atLeast"/>
        <w:ind w:left="284" w:hanging="284"/>
        <w:jc w:val="left"/>
        <w:textAlignment w:val="auto"/>
        <w:rPr>
          <w:rFonts w:ascii="宋体" w:hAnsi="宋体" w:eastAsia="宋体"/>
          <w:szCs w:val="21"/>
        </w:rPr>
      </w:pPr>
      <w:r>
        <w:rPr>
          <w:rFonts w:ascii="宋体" w:hAnsi="宋体" w:eastAsia="宋体"/>
          <w:color w:val="1F2225"/>
          <w:szCs w:val="21"/>
        </w:rPr>
        <w:t>莎士比亚故乡文化之旅</w:t>
      </w:r>
    </w:p>
    <w:p w14:paraId="0F2BC565">
      <w:pPr>
        <w:keepNext w:val="0"/>
        <w:keepLines w:val="0"/>
        <w:pageBreakBefore w:val="0"/>
        <w:kinsoku/>
        <w:wordWrap/>
        <w:overflowPunct/>
        <w:topLinePunct w:val="0"/>
        <w:bidi w:val="0"/>
        <w:snapToGrid/>
        <w:spacing w:beforeAutospacing="0" w:line="24" w:lineRule="atLeast"/>
        <w:textAlignment w:val="auto"/>
        <w:rPr>
          <w:rFonts w:ascii="宋体" w:hAnsi="宋体" w:eastAsia="宋体"/>
          <w:color w:val="1F2225"/>
          <w:szCs w:val="21"/>
        </w:rPr>
      </w:pPr>
      <w:r>
        <w:rPr>
          <w:rFonts w:ascii="宋体" w:hAnsi="宋体" w:eastAsia="宋体"/>
          <w:color w:val="1F2225"/>
          <w:szCs w:val="21"/>
        </w:rPr>
        <w:t>学生将前往英国文学巨匠莎士比亚的故乡，参观莎士比亚故居，近距离感受这位文学大师的生活足迹与创作灵感来源。在沉浸式的导览中，学生将理解莎士比亚作品的艺术魅力与文化意义，并体验英式小镇悠久的历史、优美的风光与莎士比亚皇家戏剧院浓厚的戏剧氛围。</w:t>
      </w:r>
    </w:p>
    <w:p w14:paraId="11B7745E">
      <w:pPr>
        <w:keepNext w:val="0"/>
        <w:keepLines w:val="0"/>
        <w:pageBreakBefore w:val="0"/>
        <w:kinsoku/>
        <w:wordWrap/>
        <w:overflowPunct/>
        <w:topLinePunct w:val="0"/>
        <w:bidi w:val="0"/>
        <w:snapToGrid/>
        <w:spacing w:line="24" w:lineRule="atLeast"/>
        <w:textAlignment w:val="auto"/>
        <w:rPr>
          <w:rFonts w:ascii="宋体" w:hAnsi="宋体" w:eastAsia="宋体"/>
          <w:szCs w:val="21"/>
        </w:rPr>
      </w:pPr>
    </w:p>
    <w:p w14:paraId="5712BA60">
      <w:pPr>
        <w:keepNext w:val="0"/>
        <w:keepLines w:val="0"/>
        <w:pageBreakBefore w:val="0"/>
        <w:kinsoku/>
        <w:wordWrap/>
        <w:overflowPunct/>
        <w:topLinePunct w:val="0"/>
        <w:bidi w:val="0"/>
        <w:snapToGrid/>
        <w:spacing w:afterAutospacing="0" w:line="24" w:lineRule="atLeast"/>
        <w:textAlignment w:val="auto"/>
        <w:rPr>
          <w:rFonts w:hint="eastAsia" w:ascii="宋体" w:hAnsi="宋体" w:eastAsia="宋体"/>
          <w:b/>
          <w:szCs w:val="21"/>
        </w:rPr>
      </w:pPr>
      <w:r>
        <w:rPr>
          <w:rFonts w:hint="eastAsia" w:ascii="宋体" w:hAnsi="宋体" w:eastAsia="宋体"/>
          <w:b/>
          <w:szCs w:val="21"/>
        </w:rPr>
        <w:t>*以上模块海外根据实际情况做调整</w:t>
      </w:r>
    </w:p>
    <w:p w14:paraId="0FBDDA86">
      <w:pPr>
        <w:keepNext w:val="0"/>
        <w:keepLines w:val="0"/>
        <w:pageBreakBefore w:val="0"/>
        <w:kinsoku/>
        <w:wordWrap/>
        <w:overflowPunct/>
        <w:topLinePunct w:val="0"/>
        <w:bidi w:val="0"/>
        <w:snapToGrid/>
        <w:spacing w:afterAutospacing="0" w:line="24" w:lineRule="atLeast"/>
        <w:textAlignment w:val="auto"/>
        <w:rPr>
          <w:rFonts w:hint="eastAsia" w:ascii="宋体" w:hAnsi="宋体" w:eastAsia="宋体"/>
          <w:b/>
          <w:szCs w:val="21"/>
        </w:rPr>
      </w:pPr>
    </w:p>
    <w:p w14:paraId="1D405C01">
      <w:pPr>
        <w:pStyle w:val="18"/>
        <w:keepNext w:val="0"/>
        <w:keepLines w:val="0"/>
        <w:pageBreakBefore w:val="0"/>
        <w:kinsoku/>
        <w:wordWrap/>
        <w:overflowPunct/>
        <w:topLinePunct w:val="0"/>
        <w:bidi w:val="0"/>
        <w:snapToGrid/>
        <w:spacing w:before="0" w:beforeAutospacing="0" w:after="0" w:afterAutospacing="0" w:line="24" w:lineRule="atLeast"/>
        <w:textAlignment w:val="auto"/>
        <w:rPr>
          <w:rFonts w:ascii="宋体" w:hAnsi="宋体" w:eastAsia="宋体"/>
          <w:sz w:val="21"/>
          <w:szCs w:val="21"/>
          <w:lang w:eastAsia="zh-CN"/>
        </w:rPr>
      </w:pPr>
      <w:r>
        <w:rPr>
          <w:rFonts w:ascii="宋体" w:hAnsi="宋体" w:eastAsia="宋体"/>
          <w:bCs/>
          <w:color w:val="1F2225"/>
          <w:sz w:val="21"/>
          <w:szCs w:val="21"/>
          <w:lang w:eastAsia="zh-CN"/>
        </w:rPr>
        <w:t>正式结业晚宴：</w:t>
      </w:r>
    </w:p>
    <w:p w14:paraId="49166190">
      <w:pPr>
        <w:keepNext w:val="0"/>
        <w:keepLines w:val="0"/>
        <w:pageBreakBefore w:val="0"/>
        <w:kinsoku/>
        <w:wordWrap/>
        <w:overflowPunct/>
        <w:topLinePunct w:val="0"/>
        <w:bidi w:val="0"/>
        <w:snapToGrid/>
        <w:spacing w:beforeAutospacing="0" w:line="24" w:lineRule="atLeast"/>
        <w:textAlignment w:val="auto"/>
        <w:rPr>
          <w:rFonts w:hint="eastAsia" w:ascii="宋体" w:hAnsi="宋体" w:eastAsia="宋体" w:cs="宋体"/>
          <w:color w:val="1F2225"/>
          <w:szCs w:val="21"/>
        </w:rPr>
      </w:pPr>
      <w:r>
        <w:rPr>
          <w:rFonts w:hint="eastAsia" w:ascii="宋体" w:hAnsi="宋体" w:eastAsia="宋体" w:cs="宋体"/>
          <w:color w:val="1F2225"/>
          <w:szCs w:val="21"/>
        </w:rPr>
        <w:t>学生将着正装参加牛津大学标志性的传统活动</w:t>
      </w:r>
      <w:r>
        <w:rPr>
          <w:rFonts w:ascii="宋体" w:hAnsi="宋体" w:eastAsia="宋体"/>
          <w:color w:val="1F2225"/>
          <w:szCs w:val="21"/>
        </w:rPr>
        <w:t>——Formal Dinner</w:t>
      </w:r>
      <w:r>
        <w:rPr>
          <w:rFonts w:hint="eastAsia" w:ascii="宋体" w:hAnsi="宋体" w:eastAsia="宋体" w:cs="宋体"/>
          <w:color w:val="1F2225"/>
          <w:szCs w:val="21"/>
        </w:rPr>
        <w:t>。在烛光与长桌间感受数百年学术传统所沉淀的仪式感与归属感。</w:t>
      </w:r>
      <w:r>
        <w:rPr>
          <w:rFonts w:ascii="宋体" w:hAnsi="宋体" w:eastAsia="宋体"/>
          <w:color w:val="1F2225"/>
          <w:szCs w:val="21"/>
        </w:rPr>
        <w:t xml:space="preserve">Formal Dinner </w:t>
      </w:r>
      <w:r>
        <w:rPr>
          <w:rFonts w:hint="eastAsia" w:ascii="宋体" w:hAnsi="宋体" w:eastAsia="宋体" w:cs="宋体"/>
          <w:color w:val="1F2225"/>
          <w:szCs w:val="21"/>
        </w:rPr>
        <w:t>是牛津学院制文化的重要组成部分，融合学术精神、历史传承与英式礼仪，是每一位牛津学生难忘的校园体验。</w:t>
      </w:r>
    </w:p>
    <w:p w14:paraId="1492F8B6">
      <w:pPr>
        <w:keepNext w:val="0"/>
        <w:keepLines w:val="0"/>
        <w:pageBreakBefore w:val="0"/>
        <w:kinsoku/>
        <w:wordWrap/>
        <w:overflowPunct/>
        <w:topLinePunct w:val="0"/>
        <w:bidi w:val="0"/>
        <w:snapToGrid/>
        <w:spacing w:beforeAutospacing="0" w:line="24" w:lineRule="atLeast"/>
        <w:textAlignment w:val="auto"/>
        <w:rPr>
          <w:rFonts w:hint="eastAsia" w:ascii="宋体" w:hAnsi="宋体" w:eastAsia="宋体" w:cs="宋体"/>
          <w:color w:val="1F2225"/>
          <w:szCs w:val="21"/>
        </w:rPr>
      </w:pPr>
    </w:p>
    <w:p w14:paraId="33909322">
      <w:pPr>
        <w:keepNext w:val="0"/>
        <w:keepLines w:val="0"/>
        <w:pageBreakBefore w:val="0"/>
        <w:numPr>
          <w:numId w:val="0"/>
        </w:numPr>
        <w:kinsoku/>
        <w:wordWrap/>
        <w:overflowPunct/>
        <w:topLinePunct w:val="0"/>
        <w:bidi w:val="0"/>
        <w:snapToGrid/>
        <w:spacing w:line="24" w:lineRule="atLeast"/>
        <w:textAlignment w:val="auto"/>
        <w:rPr>
          <w:rFonts w:hint="eastAsia" w:ascii="宋体" w:hAnsi="宋体" w:eastAsia="宋体"/>
          <w:b/>
          <w:bCs/>
          <w:szCs w:val="21"/>
          <w:lang w:val="en-US" w:eastAsia="zh-CN"/>
        </w:rPr>
      </w:pPr>
      <w:r>
        <w:rPr>
          <w:rFonts w:hint="eastAsia" w:ascii="宋体" w:hAnsi="宋体" w:eastAsia="宋体"/>
          <w:b/>
          <w:bCs/>
          <w:szCs w:val="21"/>
          <w:lang w:val="en-US" w:eastAsia="zh-CN"/>
        </w:rPr>
        <w:t>五、部分</w:t>
      </w:r>
      <w:r>
        <w:rPr>
          <w:rFonts w:hint="eastAsia" w:ascii="宋体" w:hAnsi="宋体" w:eastAsia="宋体"/>
          <w:b/>
          <w:bCs/>
          <w:szCs w:val="21"/>
        </w:rPr>
        <w:t>师资</w:t>
      </w:r>
      <w:r>
        <w:rPr>
          <w:rFonts w:hint="eastAsia" w:ascii="宋体" w:hAnsi="宋体" w:eastAsia="宋体"/>
          <w:b/>
          <w:bCs/>
          <w:szCs w:val="21"/>
          <w:lang w:val="en-US" w:eastAsia="zh-CN"/>
        </w:rPr>
        <w:t>简介</w:t>
      </w:r>
    </w:p>
    <w:p w14:paraId="21F8C5B7">
      <w:pPr>
        <w:keepNext w:val="0"/>
        <w:keepLines w:val="0"/>
        <w:pageBreakBefore w:val="0"/>
        <w:kinsoku/>
        <w:wordWrap/>
        <w:overflowPunct/>
        <w:topLinePunct w:val="0"/>
        <w:bidi w:val="0"/>
        <w:snapToGrid/>
        <w:spacing w:line="24" w:lineRule="atLeast"/>
        <w:textAlignment w:val="auto"/>
        <w:rPr>
          <w:rFonts w:ascii="宋体" w:hAnsi="宋体" w:eastAsia="宋体"/>
          <w:b/>
          <w:szCs w:val="21"/>
          <w:u w:val="single"/>
        </w:rPr>
      </w:pPr>
      <w:r>
        <w:rPr>
          <w:rFonts w:hint="eastAsia" w:ascii="宋体" w:hAnsi="宋体" w:eastAsia="宋体"/>
          <w:b/>
          <w:szCs w:val="21"/>
          <w:u w:val="single"/>
        </w:rPr>
        <w:t>P</w:t>
      </w:r>
      <w:r>
        <w:rPr>
          <w:rFonts w:ascii="宋体" w:hAnsi="宋体" w:eastAsia="宋体"/>
          <w:b/>
          <w:szCs w:val="21"/>
          <w:u w:val="single"/>
        </w:rPr>
        <w:t xml:space="preserve">rofessor </w:t>
      </w:r>
      <w:r>
        <w:rPr>
          <w:rFonts w:hint="eastAsia" w:ascii="宋体" w:hAnsi="宋体" w:eastAsia="宋体"/>
          <w:b/>
          <w:szCs w:val="21"/>
          <w:u w:val="single"/>
        </w:rPr>
        <w:t>Carl</w:t>
      </w:r>
      <w:r>
        <w:rPr>
          <w:rFonts w:ascii="宋体" w:hAnsi="宋体" w:eastAsia="宋体"/>
          <w:b/>
          <w:szCs w:val="21"/>
          <w:u w:val="single"/>
        </w:rPr>
        <w:t xml:space="preserve"> Heneghan</w:t>
      </w:r>
    </w:p>
    <w:p w14:paraId="5FC5B5D3">
      <w:pPr>
        <w:pStyle w:val="13"/>
        <w:keepNext w:val="0"/>
        <w:keepLines w:val="0"/>
        <w:pageBreakBefore w:val="0"/>
        <w:numPr>
          <w:ilvl w:val="0"/>
          <w:numId w:val="4"/>
        </w:numPr>
        <w:kinsoku/>
        <w:wordWrap/>
        <w:overflowPunct/>
        <w:topLinePunct w:val="0"/>
        <w:bidi w:val="0"/>
        <w:snapToGrid/>
        <w:spacing w:before="0" w:line="24" w:lineRule="atLeast"/>
        <w:ind w:left="420" w:leftChars="0" w:hanging="420" w:hangingChars="200"/>
        <w:textAlignment w:val="auto"/>
        <w:rPr>
          <w:sz w:val="21"/>
          <w:szCs w:val="21"/>
        </w:rPr>
      </w:pPr>
      <w:r>
        <w:rPr>
          <w:rFonts w:hint="eastAsia"/>
          <w:sz w:val="21"/>
          <w:szCs w:val="21"/>
        </w:rPr>
        <w:t>牛津大学循证医学中心主任、教授；临床流行病学家，具有循证医学、研究方法和证据综合的专业知识</w:t>
      </w:r>
    </w:p>
    <w:p w14:paraId="3EDD5045">
      <w:pPr>
        <w:pStyle w:val="13"/>
        <w:keepNext w:val="0"/>
        <w:keepLines w:val="0"/>
        <w:pageBreakBefore w:val="0"/>
        <w:numPr>
          <w:ilvl w:val="0"/>
          <w:numId w:val="4"/>
        </w:numPr>
        <w:kinsoku/>
        <w:wordWrap/>
        <w:overflowPunct/>
        <w:topLinePunct w:val="0"/>
        <w:bidi w:val="0"/>
        <w:snapToGrid/>
        <w:spacing w:before="0" w:line="24" w:lineRule="atLeast"/>
        <w:ind w:left="420" w:leftChars="0" w:hanging="420" w:hangingChars="200"/>
        <w:textAlignment w:val="auto"/>
        <w:rPr>
          <w:sz w:val="21"/>
          <w:szCs w:val="21"/>
        </w:rPr>
      </w:pPr>
      <w:r>
        <w:rPr>
          <w:sz w:val="21"/>
          <w:szCs w:val="21"/>
        </w:rPr>
        <w:t>NHS紧急护理全科医生和NIHR高级研究员</w:t>
      </w:r>
    </w:p>
    <w:p w14:paraId="4B5D4121">
      <w:pPr>
        <w:pStyle w:val="13"/>
        <w:keepNext w:val="0"/>
        <w:keepLines w:val="0"/>
        <w:pageBreakBefore w:val="0"/>
        <w:numPr>
          <w:ilvl w:val="0"/>
          <w:numId w:val="4"/>
        </w:numPr>
        <w:kinsoku/>
        <w:wordWrap/>
        <w:overflowPunct/>
        <w:topLinePunct w:val="0"/>
        <w:bidi w:val="0"/>
        <w:snapToGrid/>
        <w:spacing w:before="0" w:line="24" w:lineRule="atLeast"/>
        <w:ind w:left="420" w:leftChars="0" w:hanging="420" w:hangingChars="200"/>
        <w:textAlignment w:val="auto"/>
        <w:rPr>
          <w:sz w:val="21"/>
          <w:szCs w:val="21"/>
        </w:rPr>
      </w:pPr>
      <w:r>
        <w:rPr>
          <w:sz w:val="21"/>
          <w:szCs w:val="21"/>
        </w:rPr>
        <w:t>400多篇同行评议的文章（目前H指数为79）；发表了95篇系统综述</w:t>
      </w:r>
    </w:p>
    <w:p w14:paraId="53987590">
      <w:pPr>
        <w:pStyle w:val="13"/>
        <w:keepNext w:val="0"/>
        <w:keepLines w:val="0"/>
        <w:pageBreakBefore w:val="0"/>
        <w:numPr>
          <w:ilvl w:val="0"/>
          <w:numId w:val="4"/>
        </w:numPr>
        <w:kinsoku/>
        <w:wordWrap/>
        <w:overflowPunct/>
        <w:topLinePunct w:val="0"/>
        <w:bidi w:val="0"/>
        <w:snapToGrid/>
        <w:spacing w:before="0" w:line="24" w:lineRule="atLeast"/>
        <w:ind w:left="420" w:leftChars="0" w:hanging="420" w:hangingChars="200"/>
        <w:textAlignment w:val="auto"/>
        <w:rPr>
          <w:sz w:val="21"/>
          <w:szCs w:val="21"/>
        </w:rPr>
      </w:pPr>
      <w:r>
        <w:rPr>
          <w:rFonts w:hint="eastAsia"/>
          <w:sz w:val="21"/>
          <w:szCs w:val="21"/>
        </w:rPr>
        <w:t>两个英国全议会党组关于手术网和激素妊娠试验的临床顾问</w:t>
      </w:r>
    </w:p>
    <w:p w14:paraId="1AE308B4">
      <w:pPr>
        <w:pStyle w:val="13"/>
        <w:keepNext w:val="0"/>
        <w:keepLines w:val="0"/>
        <w:pageBreakBefore w:val="0"/>
        <w:numPr>
          <w:ilvl w:val="0"/>
          <w:numId w:val="4"/>
        </w:numPr>
        <w:kinsoku/>
        <w:wordWrap/>
        <w:overflowPunct/>
        <w:topLinePunct w:val="0"/>
        <w:bidi w:val="0"/>
        <w:snapToGrid/>
        <w:spacing w:before="0" w:line="24" w:lineRule="atLeast"/>
        <w:ind w:left="420" w:leftChars="0" w:hanging="420" w:hangingChars="200"/>
        <w:textAlignment w:val="auto"/>
        <w:rPr>
          <w:sz w:val="21"/>
          <w:szCs w:val="21"/>
        </w:rPr>
      </w:pPr>
      <w:r>
        <w:rPr>
          <w:rFonts w:hint="eastAsia"/>
          <w:sz w:val="21"/>
          <w:szCs w:val="21"/>
        </w:rPr>
        <w:t>世界卫生组织临床试验注册平台的顾问和</w:t>
      </w:r>
      <w:r>
        <w:rPr>
          <w:sz w:val="21"/>
          <w:szCs w:val="21"/>
        </w:rPr>
        <w:t>AllTrials运动的创始人</w:t>
      </w:r>
    </w:p>
    <w:p w14:paraId="12D1B0BE">
      <w:pPr>
        <w:pStyle w:val="13"/>
        <w:keepNext w:val="0"/>
        <w:keepLines w:val="0"/>
        <w:pageBreakBefore w:val="0"/>
        <w:numPr>
          <w:ilvl w:val="0"/>
          <w:numId w:val="4"/>
        </w:numPr>
        <w:kinsoku/>
        <w:wordWrap/>
        <w:overflowPunct/>
        <w:topLinePunct w:val="0"/>
        <w:bidi w:val="0"/>
        <w:snapToGrid/>
        <w:spacing w:before="0" w:line="24" w:lineRule="atLeast"/>
        <w:ind w:left="420" w:leftChars="0" w:hanging="420" w:hangingChars="200"/>
        <w:textAlignment w:val="auto"/>
        <w:rPr>
          <w:sz w:val="21"/>
          <w:szCs w:val="21"/>
          <w:lang w:val="en-US"/>
        </w:rPr>
      </w:pPr>
      <w:r>
        <w:rPr>
          <w:sz w:val="21"/>
          <w:szCs w:val="21"/>
          <w:lang w:val="en-US"/>
        </w:rPr>
        <w:t>2019</w:t>
      </w:r>
      <w:r>
        <w:rPr>
          <w:rFonts w:hint="eastAsia"/>
          <w:sz w:val="21"/>
          <w:szCs w:val="21"/>
          <w:lang w:val="en-US"/>
        </w:rPr>
        <w:t>年，他获得牛津大学医学科学部颁发的终身成就奖，以表彰他对教育和教学的持续承诺</w:t>
      </w:r>
    </w:p>
    <w:p w14:paraId="11762A37">
      <w:pPr>
        <w:pStyle w:val="13"/>
        <w:keepNext w:val="0"/>
        <w:keepLines w:val="0"/>
        <w:pageBreakBefore w:val="0"/>
        <w:numPr>
          <w:ilvl w:val="0"/>
          <w:numId w:val="4"/>
        </w:numPr>
        <w:kinsoku/>
        <w:wordWrap/>
        <w:overflowPunct/>
        <w:topLinePunct w:val="0"/>
        <w:bidi w:val="0"/>
        <w:snapToGrid/>
        <w:spacing w:before="0" w:line="24" w:lineRule="atLeast"/>
        <w:ind w:left="420" w:leftChars="0" w:hanging="420" w:hangingChars="200"/>
        <w:textAlignment w:val="auto"/>
        <w:rPr>
          <w:sz w:val="21"/>
          <w:szCs w:val="21"/>
          <w:lang w:val="en-US"/>
        </w:rPr>
      </w:pPr>
      <w:r>
        <w:rPr>
          <w:rFonts w:hint="eastAsia"/>
          <w:sz w:val="21"/>
          <w:szCs w:val="21"/>
          <w:lang w:val="en-US"/>
        </w:rPr>
        <w:t>曾两次被评选为前</w:t>
      </w:r>
      <w:r>
        <w:rPr>
          <w:sz w:val="21"/>
          <w:szCs w:val="21"/>
          <w:lang w:val="en-US"/>
        </w:rPr>
        <w:t>100</w:t>
      </w:r>
      <w:r>
        <w:rPr>
          <w:rFonts w:hint="eastAsia"/>
          <w:sz w:val="21"/>
          <w:szCs w:val="21"/>
          <w:lang w:val="en-US"/>
        </w:rPr>
        <w:t>名</w:t>
      </w:r>
      <w:r>
        <w:rPr>
          <w:sz w:val="21"/>
          <w:szCs w:val="21"/>
          <w:lang w:val="en-US"/>
        </w:rPr>
        <w:t>NHS</w:t>
      </w:r>
      <w:r>
        <w:rPr>
          <w:rFonts w:hint="eastAsia"/>
          <w:sz w:val="21"/>
          <w:szCs w:val="21"/>
          <w:lang w:val="en-US"/>
        </w:rPr>
        <w:t>临床领导人之一</w:t>
      </w:r>
    </w:p>
    <w:p w14:paraId="4042F83E">
      <w:pPr>
        <w:keepNext w:val="0"/>
        <w:keepLines w:val="0"/>
        <w:pageBreakBefore w:val="0"/>
        <w:kinsoku/>
        <w:wordWrap/>
        <w:overflowPunct/>
        <w:topLinePunct w:val="0"/>
        <w:bidi w:val="0"/>
        <w:snapToGrid/>
        <w:spacing w:line="24" w:lineRule="atLeast"/>
        <w:textAlignment w:val="auto"/>
        <w:rPr>
          <w:rFonts w:ascii="宋体" w:hAnsi="宋体" w:eastAsia="宋体"/>
          <w:b/>
          <w:szCs w:val="21"/>
          <w:u w:val="single"/>
        </w:rPr>
      </w:pPr>
      <w:r>
        <w:rPr>
          <w:rFonts w:ascii="宋体" w:hAnsi="宋体" w:eastAsia="宋体"/>
          <w:b/>
          <w:szCs w:val="21"/>
          <w:u w:val="single"/>
        </w:rPr>
        <w:t xml:space="preserve">Professor </w:t>
      </w:r>
      <w:r>
        <w:rPr>
          <w:rFonts w:hint="eastAsia" w:ascii="宋体" w:hAnsi="宋体" w:eastAsia="宋体"/>
          <w:b/>
          <w:szCs w:val="21"/>
          <w:u w:val="single"/>
        </w:rPr>
        <w:t>A</w:t>
      </w:r>
      <w:r>
        <w:rPr>
          <w:rFonts w:ascii="宋体" w:hAnsi="宋体" w:eastAsia="宋体"/>
          <w:b/>
          <w:szCs w:val="21"/>
          <w:u w:val="single"/>
        </w:rPr>
        <w:t>ngela Russell</w:t>
      </w:r>
    </w:p>
    <w:p w14:paraId="643A26A2">
      <w:pPr>
        <w:pStyle w:val="13"/>
        <w:keepNext w:val="0"/>
        <w:keepLines w:val="0"/>
        <w:pageBreakBefore w:val="0"/>
        <w:numPr>
          <w:ilvl w:val="0"/>
          <w:numId w:val="5"/>
        </w:numPr>
        <w:kinsoku/>
        <w:wordWrap/>
        <w:overflowPunct/>
        <w:topLinePunct w:val="0"/>
        <w:bidi w:val="0"/>
        <w:snapToGrid/>
        <w:spacing w:before="0" w:line="24" w:lineRule="atLeast"/>
        <w:ind w:left="420" w:leftChars="0" w:hanging="420" w:hangingChars="200"/>
        <w:textAlignment w:val="auto"/>
        <w:rPr>
          <w:sz w:val="21"/>
          <w:szCs w:val="21"/>
        </w:rPr>
      </w:pPr>
      <w:r>
        <w:rPr>
          <w:rFonts w:hint="eastAsia"/>
          <w:sz w:val="21"/>
          <w:szCs w:val="21"/>
        </w:rPr>
        <w:t>牛津大学药物化学系、有机化学系终身教授、博士生导师</w:t>
      </w:r>
    </w:p>
    <w:p w14:paraId="25E8F2F7">
      <w:pPr>
        <w:pStyle w:val="13"/>
        <w:keepNext w:val="0"/>
        <w:keepLines w:val="0"/>
        <w:pageBreakBefore w:val="0"/>
        <w:numPr>
          <w:ilvl w:val="0"/>
          <w:numId w:val="5"/>
        </w:numPr>
        <w:kinsoku/>
        <w:wordWrap/>
        <w:overflowPunct/>
        <w:topLinePunct w:val="0"/>
        <w:bidi w:val="0"/>
        <w:snapToGrid/>
        <w:spacing w:before="0" w:line="24" w:lineRule="atLeast"/>
        <w:ind w:left="420" w:leftChars="0" w:hanging="420" w:hangingChars="200"/>
        <w:textAlignment w:val="auto"/>
        <w:rPr>
          <w:sz w:val="21"/>
          <w:szCs w:val="21"/>
        </w:rPr>
      </w:pPr>
      <w:r>
        <w:rPr>
          <w:rFonts w:hint="eastAsia"/>
          <w:sz w:val="21"/>
          <w:szCs w:val="21"/>
        </w:rPr>
        <w:t>牛津干细胞研究所（</w:t>
      </w:r>
      <w:r>
        <w:rPr>
          <w:sz w:val="21"/>
          <w:szCs w:val="21"/>
        </w:rPr>
        <w:t>OSCI）、英国心脏基金会卓越研究中心（BHF CRE）和英国牛津癌症研究中心的成员和研究员</w:t>
      </w:r>
    </w:p>
    <w:p w14:paraId="74BDA699">
      <w:pPr>
        <w:pStyle w:val="13"/>
        <w:keepNext w:val="0"/>
        <w:keepLines w:val="0"/>
        <w:pageBreakBefore w:val="0"/>
        <w:numPr>
          <w:ilvl w:val="0"/>
          <w:numId w:val="5"/>
        </w:numPr>
        <w:kinsoku/>
        <w:wordWrap/>
        <w:overflowPunct/>
        <w:topLinePunct w:val="0"/>
        <w:bidi w:val="0"/>
        <w:snapToGrid/>
        <w:spacing w:before="0" w:line="24" w:lineRule="atLeast"/>
        <w:ind w:left="420" w:leftChars="0" w:hanging="420" w:hangingChars="200"/>
        <w:textAlignment w:val="auto"/>
        <w:rPr>
          <w:sz w:val="21"/>
          <w:szCs w:val="21"/>
        </w:rPr>
      </w:pPr>
      <w:r>
        <w:rPr>
          <w:rFonts w:hint="eastAsia"/>
          <w:sz w:val="21"/>
          <w:szCs w:val="21"/>
        </w:rPr>
        <w:t>创办了两家再生医学方向研究的企业</w:t>
      </w:r>
      <w:r>
        <w:rPr>
          <w:sz w:val="21"/>
          <w:szCs w:val="21"/>
        </w:rPr>
        <w:t xml:space="preserve"> MuOx Ltd 和 OxStem Ltd，OxStem Ltd专注于小分子控制干细胞研究</w:t>
      </w:r>
    </w:p>
    <w:p w14:paraId="2AAD369E">
      <w:pPr>
        <w:pStyle w:val="13"/>
        <w:keepNext w:val="0"/>
        <w:keepLines w:val="0"/>
        <w:pageBreakBefore w:val="0"/>
        <w:numPr>
          <w:ilvl w:val="0"/>
          <w:numId w:val="5"/>
        </w:numPr>
        <w:kinsoku/>
        <w:wordWrap/>
        <w:overflowPunct/>
        <w:topLinePunct w:val="0"/>
        <w:bidi w:val="0"/>
        <w:snapToGrid/>
        <w:spacing w:before="0" w:line="24" w:lineRule="atLeast"/>
        <w:ind w:left="420" w:leftChars="0" w:hanging="420" w:hangingChars="200"/>
        <w:textAlignment w:val="auto"/>
        <w:rPr>
          <w:sz w:val="21"/>
          <w:szCs w:val="21"/>
          <w:lang w:val="en-US"/>
        </w:rPr>
      </w:pPr>
      <w:r>
        <w:rPr>
          <w:sz w:val="21"/>
          <w:szCs w:val="21"/>
          <w:lang w:val="en-US"/>
        </w:rPr>
        <w:t>2020年10月，</w:t>
      </w:r>
      <w:r>
        <w:rPr>
          <w:rFonts w:hint="eastAsia"/>
          <w:sz w:val="21"/>
          <w:szCs w:val="21"/>
          <w:lang w:val="en-US"/>
        </w:rPr>
        <w:t>教授</w:t>
      </w:r>
      <w:r>
        <w:rPr>
          <w:sz w:val="21"/>
          <w:szCs w:val="21"/>
          <w:lang w:val="en-US"/>
        </w:rPr>
        <w:t>被授予2021年哈灵顿英国罕见疾病奖学金，以表彰和支持她开发DMD疗法的工作</w:t>
      </w:r>
    </w:p>
    <w:p w14:paraId="5215089D">
      <w:pPr>
        <w:keepNext w:val="0"/>
        <w:keepLines w:val="0"/>
        <w:pageBreakBefore w:val="0"/>
        <w:kinsoku/>
        <w:wordWrap/>
        <w:overflowPunct/>
        <w:topLinePunct w:val="0"/>
        <w:bidi w:val="0"/>
        <w:snapToGrid/>
        <w:spacing w:line="24" w:lineRule="atLeast"/>
        <w:textAlignment w:val="auto"/>
        <w:rPr>
          <w:rFonts w:ascii="宋体" w:hAnsi="宋体" w:eastAsia="宋体"/>
          <w:b/>
          <w:szCs w:val="21"/>
          <w:u w:val="single"/>
        </w:rPr>
      </w:pPr>
      <w:r>
        <w:rPr>
          <w:rFonts w:ascii="宋体" w:hAnsi="宋体" w:eastAsia="宋体"/>
          <w:b/>
          <w:szCs w:val="21"/>
          <w:u w:val="single"/>
        </w:rPr>
        <w:t xml:space="preserve">Professor Sridhar Vasudevan </w:t>
      </w:r>
    </w:p>
    <w:p w14:paraId="0BF8583D">
      <w:pPr>
        <w:pStyle w:val="13"/>
        <w:keepNext w:val="0"/>
        <w:keepLines w:val="0"/>
        <w:pageBreakBefore w:val="0"/>
        <w:numPr>
          <w:ilvl w:val="0"/>
          <w:numId w:val="6"/>
        </w:numPr>
        <w:kinsoku/>
        <w:wordWrap/>
        <w:overflowPunct/>
        <w:topLinePunct w:val="0"/>
        <w:bidi w:val="0"/>
        <w:snapToGrid/>
        <w:spacing w:before="0" w:line="24" w:lineRule="atLeast"/>
        <w:ind w:left="420" w:leftChars="0" w:hanging="420" w:hangingChars="200"/>
        <w:textAlignment w:val="auto"/>
        <w:rPr>
          <w:sz w:val="21"/>
          <w:szCs w:val="21"/>
        </w:rPr>
      </w:pPr>
      <w:r>
        <w:rPr>
          <w:rFonts w:hint="eastAsia"/>
          <w:sz w:val="21"/>
          <w:szCs w:val="21"/>
        </w:rPr>
        <w:t>牛津大学药理学与药物发现教授，专注于确定新靶点和开发小分子睡眠与昼夜节律调节剂。</w:t>
      </w:r>
    </w:p>
    <w:p w14:paraId="515DD089">
      <w:pPr>
        <w:pStyle w:val="13"/>
        <w:keepNext w:val="0"/>
        <w:keepLines w:val="0"/>
        <w:pageBreakBefore w:val="0"/>
        <w:numPr>
          <w:ilvl w:val="0"/>
          <w:numId w:val="6"/>
        </w:numPr>
        <w:kinsoku/>
        <w:wordWrap/>
        <w:overflowPunct/>
        <w:topLinePunct w:val="0"/>
        <w:bidi w:val="0"/>
        <w:snapToGrid/>
        <w:spacing w:before="0" w:line="24" w:lineRule="atLeast"/>
        <w:ind w:left="420" w:leftChars="0" w:hanging="420" w:hangingChars="200"/>
        <w:textAlignment w:val="auto"/>
        <w:rPr>
          <w:sz w:val="21"/>
          <w:szCs w:val="21"/>
        </w:rPr>
      </w:pPr>
      <w:r>
        <w:rPr>
          <w:rFonts w:hint="eastAsia"/>
          <w:sz w:val="21"/>
          <w:szCs w:val="21"/>
        </w:rPr>
        <w:t>为牛津大学医学、生物医学科学和药理学专业的学生讲授高级药理学、精神病学、药物</w:t>
      </w:r>
      <w:r>
        <w:rPr>
          <w:sz w:val="21"/>
          <w:szCs w:val="21"/>
        </w:rPr>
        <w:t>/</w:t>
      </w:r>
      <w:r>
        <w:rPr>
          <w:rFonts w:hint="eastAsia"/>
          <w:sz w:val="21"/>
          <w:szCs w:val="21"/>
        </w:rPr>
        <w:t>目标发现和睡眠昼夜节律学等相关课程。</w:t>
      </w:r>
    </w:p>
    <w:p w14:paraId="2A0A7EDD">
      <w:pPr>
        <w:keepNext w:val="0"/>
        <w:keepLines w:val="0"/>
        <w:pageBreakBefore w:val="0"/>
        <w:kinsoku/>
        <w:wordWrap/>
        <w:overflowPunct/>
        <w:topLinePunct w:val="0"/>
        <w:bidi w:val="0"/>
        <w:snapToGrid/>
        <w:spacing w:line="24" w:lineRule="atLeast"/>
        <w:textAlignment w:val="auto"/>
        <w:rPr>
          <w:rFonts w:ascii="宋体" w:hAnsi="宋体" w:eastAsia="宋体"/>
          <w:b/>
          <w:szCs w:val="21"/>
          <w:u w:val="single"/>
        </w:rPr>
      </w:pPr>
      <w:r>
        <w:rPr>
          <w:rFonts w:hint="eastAsia" w:ascii="宋体" w:hAnsi="宋体" w:eastAsia="宋体"/>
          <w:b/>
          <w:szCs w:val="21"/>
          <w:u w:val="single"/>
        </w:rPr>
        <w:t>D</w:t>
      </w:r>
      <w:r>
        <w:rPr>
          <w:rFonts w:ascii="宋体" w:hAnsi="宋体" w:eastAsia="宋体"/>
          <w:b/>
          <w:szCs w:val="21"/>
          <w:u w:val="single"/>
        </w:rPr>
        <w:t>r Maysa Falah</w:t>
      </w:r>
      <w:r>
        <w:rPr>
          <w:rFonts w:hint="eastAsia" w:ascii="宋体" w:hAnsi="宋体" w:eastAsia="宋体"/>
          <w:b/>
          <w:szCs w:val="21"/>
          <w:u w:val="single"/>
        </w:rPr>
        <w:t>：</w:t>
      </w:r>
    </w:p>
    <w:p w14:paraId="6FB1A9F7">
      <w:pPr>
        <w:pStyle w:val="13"/>
        <w:keepNext w:val="0"/>
        <w:keepLines w:val="0"/>
        <w:pageBreakBefore w:val="0"/>
        <w:numPr>
          <w:ilvl w:val="0"/>
          <w:numId w:val="7"/>
        </w:numPr>
        <w:kinsoku/>
        <w:wordWrap/>
        <w:overflowPunct/>
        <w:topLinePunct w:val="0"/>
        <w:bidi w:val="0"/>
        <w:snapToGrid/>
        <w:spacing w:before="0" w:line="24" w:lineRule="atLeast"/>
        <w:ind w:left="420" w:leftChars="0" w:hanging="420" w:hangingChars="200"/>
        <w:textAlignment w:val="auto"/>
        <w:rPr>
          <w:sz w:val="21"/>
          <w:szCs w:val="21"/>
        </w:rPr>
      </w:pPr>
      <w:r>
        <w:rPr>
          <w:rFonts w:hint="eastAsia"/>
          <w:sz w:val="21"/>
          <w:szCs w:val="21"/>
        </w:rPr>
        <w:t>牛津大学哈里斯曼彻斯特学院医学、药理学、生理学课程讲师</w:t>
      </w:r>
    </w:p>
    <w:p w14:paraId="0DD26617">
      <w:pPr>
        <w:pStyle w:val="13"/>
        <w:keepNext w:val="0"/>
        <w:keepLines w:val="0"/>
        <w:pageBreakBefore w:val="0"/>
        <w:numPr>
          <w:ilvl w:val="0"/>
          <w:numId w:val="7"/>
        </w:numPr>
        <w:kinsoku/>
        <w:wordWrap/>
        <w:overflowPunct/>
        <w:topLinePunct w:val="0"/>
        <w:bidi w:val="0"/>
        <w:snapToGrid/>
        <w:spacing w:before="0" w:line="24" w:lineRule="atLeast"/>
        <w:ind w:left="420" w:leftChars="0" w:hanging="420" w:hangingChars="200"/>
        <w:textAlignment w:val="auto"/>
        <w:rPr>
          <w:sz w:val="21"/>
          <w:szCs w:val="21"/>
        </w:rPr>
      </w:pPr>
      <w:r>
        <w:rPr>
          <w:rFonts w:hint="eastAsia"/>
          <w:sz w:val="21"/>
          <w:szCs w:val="21"/>
        </w:rPr>
        <w:t>英国半岛医学院生物医学系讲师</w:t>
      </w:r>
    </w:p>
    <w:p w14:paraId="5BA32F7C">
      <w:pPr>
        <w:pStyle w:val="13"/>
        <w:keepNext w:val="0"/>
        <w:keepLines w:val="0"/>
        <w:pageBreakBefore w:val="0"/>
        <w:numPr>
          <w:ilvl w:val="0"/>
          <w:numId w:val="7"/>
        </w:numPr>
        <w:kinsoku/>
        <w:wordWrap/>
        <w:overflowPunct/>
        <w:topLinePunct w:val="0"/>
        <w:bidi w:val="0"/>
        <w:snapToGrid/>
        <w:spacing w:before="0" w:line="24" w:lineRule="atLeast"/>
        <w:ind w:left="420" w:leftChars="0" w:hanging="420" w:hangingChars="200"/>
        <w:textAlignment w:val="auto"/>
        <w:rPr>
          <w:sz w:val="21"/>
          <w:szCs w:val="21"/>
        </w:rPr>
      </w:pPr>
      <w:r>
        <w:rPr>
          <w:rFonts w:hint="eastAsia"/>
          <w:sz w:val="21"/>
          <w:szCs w:val="21"/>
        </w:rPr>
        <w:t>教授研究其他代谢和神经生物学途径和药理学选择，如溶酶体储存障碍以及某些类型的脑肿瘤。她还致力于</w:t>
      </w:r>
      <w:r>
        <w:rPr>
          <w:sz w:val="21"/>
          <w:szCs w:val="21"/>
        </w:rPr>
        <w:t>研究海马硬化症的机制和药物干预--最常见的耐药性癫痫的原因。</w:t>
      </w:r>
      <w:r>
        <w:rPr>
          <w:rFonts w:hint="eastAsia"/>
          <w:sz w:val="21"/>
          <w:szCs w:val="21"/>
        </w:rPr>
        <w:t>并</w:t>
      </w:r>
      <w:r>
        <w:rPr>
          <w:sz w:val="21"/>
          <w:szCs w:val="21"/>
        </w:rPr>
        <w:t>与丹麦哥本哈根的工业制药合作伙伴（Orphazyme）合作，研究溶酶体储存疾病的代谢途径和治疗方法</w:t>
      </w:r>
    </w:p>
    <w:p w14:paraId="1E618B8E">
      <w:pPr>
        <w:keepNext w:val="0"/>
        <w:keepLines w:val="0"/>
        <w:pageBreakBefore w:val="0"/>
        <w:kinsoku/>
        <w:wordWrap/>
        <w:overflowPunct/>
        <w:topLinePunct w:val="0"/>
        <w:bidi w:val="0"/>
        <w:snapToGrid/>
        <w:spacing w:line="24" w:lineRule="atLeast"/>
        <w:textAlignment w:val="auto"/>
        <w:rPr>
          <w:rFonts w:ascii="宋体" w:hAnsi="宋体" w:eastAsia="宋体"/>
          <w:b/>
          <w:szCs w:val="21"/>
          <w:u w:val="single"/>
        </w:rPr>
      </w:pPr>
      <w:r>
        <w:rPr>
          <w:rFonts w:ascii="宋体" w:hAnsi="宋体" w:eastAsia="宋体"/>
          <w:b/>
          <w:szCs w:val="21"/>
          <w:u w:val="single"/>
        </w:rPr>
        <w:t xml:space="preserve">Dr Liliana Minichiello </w:t>
      </w:r>
    </w:p>
    <w:p w14:paraId="1F338275">
      <w:pPr>
        <w:pStyle w:val="13"/>
        <w:keepNext w:val="0"/>
        <w:keepLines w:val="0"/>
        <w:pageBreakBefore w:val="0"/>
        <w:numPr>
          <w:ilvl w:val="0"/>
          <w:numId w:val="8"/>
        </w:numPr>
        <w:kinsoku/>
        <w:wordWrap/>
        <w:overflowPunct/>
        <w:topLinePunct w:val="0"/>
        <w:bidi w:val="0"/>
        <w:snapToGrid/>
        <w:spacing w:before="0" w:line="24" w:lineRule="atLeast"/>
        <w:ind w:left="420" w:leftChars="0" w:hanging="420" w:hangingChars="200"/>
        <w:textAlignment w:val="auto"/>
        <w:rPr>
          <w:sz w:val="21"/>
          <w:szCs w:val="21"/>
        </w:rPr>
      </w:pPr>
      <w:r>
        <w:rPr>
          <w:rFonts w:hint="eastAsia"/>
          <w:sz w:val="21"/>
          <w:szCs w:val="21"/>
        </w:rPr>
        <w:t>牛津大学细胞和分子神经科学学术研究负责人。她长期以来的主要研究兴趣是确定突触可塑性、学习和记忆的分子和细胞机制</w:t>
      </w:r>
    </w:p>
    <w:p w14:paraId="16207B01">
      <w:pPr>
        <w:pStyle w:val="13"/>
        <w:keepNext w:val="0"/>
        <w:keepLines w:val="0"/>
        <w:pageBreakBefore w:val="0"/>
        <w:numPr>
          <w:ilvl w:val="0"/>
          <w:numId w:val="8"/>
        </w:numPr>
        <w:kinsoku/>
        <w:wordWrap/>
        <w:overflowPunct/>
        <w:topLinePunct w:val="0"/>
        <w:bidi w:val="0"/>
        <w:snapToGrid/>
        <w:spacing w:before="0" w:line="24" w:lineRule="atLeast"/>
        <w:ind w:left="420" w:leftChars="0" w:hanging="420" w:hangingChars="200"/>
        <w:textAlignment w:val="auto"/>
        <w:rPr>
          <w:sz w:val="21"/>
          <w:szCs w:val="21"/>
        </w:rPr>
      </w:pPr>
      <w:r>
        <w:rPr>
          <w:rFonts w:hint="eastAsia"/>
          <w:sz w:val="21"/>
          <w:szCs w:val="21"/>
        </w:rPr>
        <w:t>牛津大学本科生和研究生</w:t>
      </w:r>
      <w:r>
        <w:rPr>
          <w:sz w:val="21"/>
          <w:szCs w:val="21"/>
        </w:rPr>
        <w:t>FHS</w:t>
      </w:r>
      <w:r>
        <w:rPr>
          <w:rFonts w:hint="eastAsia"/>
          <w:sz w:val="21"/>
          <w:szCs w:val="21"/>
        </w:rPr>
        <w:t>考官。为药理学系建立并管理博士和博士后内部系列研讨会，并参与咨询委员会、战略方向和研究委员会会议、教学委员会等行政工作。</w:t>
      </w:r>
    </w:p>
    <w:p w14:paraId="771B8730">
      <w:pPr>
        <w:pStyle w:val="13"/>
        <w:keepNext w:val="0"/>
        <w:keepLines w:val="0"/>
        <w:pageBreakBefore w:val="0"/>
        <w:numPr>
          <w:ilvl w:val="0"/>
          <w:numId w:val="8"/>
        </w:numPr>
        <w:kinsoku/>
        <w:wordWrap/>
        <w:overflowPunct/>
        <w:topLinePunct w:val="0"/>
        <w:bidi w:val="0"/>
        <w:snapToGrid/>
        <w:spacing w:before="0" w:line="24" w:lineRule="atLeast"/>
        <w:ind w:left="420" w:leftChars="0" w:hanging="420" w:hangingChars="200"/>
        <w:textAlignment w:val="auto"/>
        <w:rPr>
          <w:sz w:val="21"/>
          <w:szCs w:val="21"/>
        </w:rPr>
      </w:pPr>
      <w:r>
        <w:rPr>
          <w:rFonts w:hint="eastAsia"/>
          <w:sz w:val="21"/>
          <w:szCs w:val="21"/>
        </w:rPr>
        <w:t xml:space="preserve">牛津大学药理学和生物化学系 </w:t>
      </w:r>
      <w:r>
        <w:rPr>
          <w:sz w:val="21"/>
          <w:szCs w:val="21"/>
        </w:rPr>
        <w:t xml:space="preserve">AWERB </w:t>
      </w:r>
      <w:r>
        <w:rPr>
          <w:rFonts w:hint="eastAsia"/>
          <w:sz w:val="21"/>
          <w:szCs w:val="21"/>
        </w:rPr>
        <w:t>委员会成员</w:t>
      </w:r>
    </w:p>
    <w:p w14:paraId="761E349F">
      <w:pPr>
        <w:pStyle w:val="13"/>
        <w:keepNext w:val="0"/>
        <w:keepLines w:val="0"/>
        <w:pageBreakBefore w:val="0"/>
        <w:kinsoku/>
        <w:wordWrap/>
        <w:overflowPunct/>
        <w:topLinePunct w:val="0"/>
        <w:bidi w:val="0"/>
        <w:snapToGrid/>
        <w:spacing w:before="0" w:line="24" w:lineRule="atLeast"/>
        <w:ind w:firstLine="0" w:firstLineChars="0"/>
        <w:textAlignment w:val="auto"/>
        <w:rPr>
          <w:rFonts w:cs="宋体"/>
          <w:bCs/>
          <w:color w:val="000000" w:themeColor="text1"/>
          <w:sz w:val="21"/>
          <w:szCs w:val="21"/>
          <w14:textFill>
            <w14:solidFill>
              <w14:schemeClr w14:val="tx1"/>
            </w14:solidFill>
          </w14:textFill>
        </w:rPr>
      </w:pPr>
      <w:r>
        <w:rPr>
          <w:rFonts w:cs="宋体"/>
          <w:bCs/>
          <w:color w:val="000000" w:themeColor="text1"/>
          <w:sz w:val="21"/>
          <w:szCs w:val="21"/>
          <w14:textFill>
            <w14:solidFill>
              <w14:schemeClr w14:val="tx1"/>
            </w14:solidFill>
          </w14:textFill>
        </w:rPr>
        <w:t>*</w:t>
      </w:r>
      <w:r>
        <w:rPr>
          <w:rFonts w:hint="eastAsia" w:cs="宋体"/>
          <w:bCs/>
          <w:color w:val="000000" w:themeColor="text1"/>
          <w:sz w:val="21"/>
          <w:szCs w:val="21"/>
          <w14:textFill>
            <w14:solidFill>
              <w14:schemeClr w14:val="tx1"/>
            </w14:solidFill>
          </w14:textFill>
        </w:rPr>
        <w:t>部分展示，海外</w:t>
      </w:r>
      <w:r>
        <w:rPr>
          <w:rFonts w:cs="宋体"/>
          <w:bCs/>
          <w:color w:val="000000" w:themeColor="text1"/>
          <w:sz w:val="21"/>
          <w:szCs w:val="21"/>
          <w14:textFill>
            <w14:solidFill>
              <w14:schemeClr w14:val="tx1"/>
            </w14:solidFill>
          </w14:textFill>
        </w:rPr>
        <w:t>可根据实际情况调整师资</w:t>
      </w:r>
    </w:p>
    <w:p w14:paraId="74C80DF4">
      <w:pPr>
        <w:pStyle w:val="13"/>
        <w:keepNext w:val="0"/>
        <w:keepLines w:val="0"/>
        <w:pageBreakBefore w:val="0"/>
        <w:kinsoku/>
        <w:wordWrap/>
        <w:overflowPunct/>
        <w:topLinePunct w:val="0"/>
        <w:bidi w:val="0"/>
        <w:snapToGrid/>
        <w:spacing w:before="0" w:line="24" w:lineRule="atLeast"/>
        <w:ind w:firstLine="0" w:firstLineChars="0"/>
        <w:textAlignment w:val="auto"/>
        <w:rPr>
          <w:rFonts w:hint="eastAsia" w:cs="宋体"/>
          <w:bCs/>
          <w:color w:val="000000" w:themeColor="text1"/>
          <w:sz w:val="21"/>
          <w:szCs w:val="21"/>
          <w14:textFill>
            <w14:solidFill>
              <w14:schemeClr w14:val="tx1"/>
            </w14:solidFill>
          </w14:textFill>
        </w:rPr>
      </w:pPr>
    </w:p>
    <w:p w14:paraId="4144FB6A">
      <w:pPr>
        <w:pStyle w:val="14"/>
        <w:keepNext w:val="0"/>
        <w:keepLines w:val="0"/>
        <w:pageBreakBefore w:val="0"/>
        <w:kinsoku/>
        <w:wordWrap/>
        <w:overflowPunct/>
        <w:topLinePunct w:val="0"/>
        <w:bidi w:val="0"/>
        <w:snapToGrid/>
        <w:spacing w:line="24" w:lineRule="atLeast"/>
        <w:jc w:val="both"/>
        <w:textAlignment w:val="auto"/>
        <w:rPr>
          <w:rFonts w:eastAsia="宋体"/>
          <w:b/>
          <w:bCs/>
          <w:color w:val="000000" w:themeColor="text1"/>
          <w:sz w:val="21"/>
          <w:szCs w:val="21"/>
          <w14:textFill>
            <w14:solidFill>
              <w14:schemeClr w14:val="tx1"/>
            </w14:solidFill>
          </w14:textFill>
        </w:rPr>
      </w:pPr>
      <w:r>
        <w:rPr>
          <w:rFonts w:hint="eastAsia" w:eastAsia="宋体"/>
          <w:b/>
          <w:bCs/>
          <w:color w:val="000000" w:themeColor="text1"/>
          <w:sz w:val="21"/>
          <w:szCs w:val="21"/>
          <w:lang w:val="en-US" w:eastAsia="zh-CN"/>
          <w14:textFill>
            <w14:solidFill>
              <w14:schemeClr w14:val="tx1"/>
            </w14:solidFill>
          </w14:textFill>
        </w:rPr>
        <w:t>六</w:t>
      </w:r>
      <w:r>
        <w:rPr>
          <w:rFonts w:hint="eastAsia" w:eastAsia="宋体"/>
          <w:b/>
          <w:bCs/>
          <w:color w:val="000000" w:themeColor="text1"/>
          <w:sz w:val="21"/>
          <w:szCs w:val="21"/>
          <w14:textFill>
            <w14:solidFill>
              <w14:schemeClr w14:val="tx1"/>
            </w14:solidFill>
          </w14:textFill>
        </w:rPr>
        <w:t>、其他内容</w:t>
      </w:r>
    </w:p>
    <w:p w14:paraId="0E6DE50E">
      <w:pPr>
        <w:pStyle w:val="14"/>
        <w:keepNext w:val="0"/>
        <w:keepLines w:val="0"/>
        <w:pageBreakBefore w:val="0"/>
        <w:kinsoku/>
        <w:wordWrap/>
        <w:overflowPunct/>
        <w:topLinePunct w:val="0"/>
        <w:bidi w:val="0"/>
        <w:snapToGrid/>
        <w:spacing w:line="24" w:lineRule="atLeast"/>
        <w:textAlignment w:val="auto"/>
        <w:rPr>
          <w:rFonts w:eastAsia="宋体"/>
          <w:b/>
          <w:bCs/>
          <w:color w:val="000000" w:themeColor="text1"/>
          <w:sz w:val="21"/>
          <w:szCs w:val="21"/>
          <w14:textFill>
            <w14:solidFill>
              <w14:schemeClr w14:val="tx1"/>
            </w14:solidFill>
          </w14:textFill>
        </w:rPr>
      </w:pPr>
      <w:r>
        <w:rPr>
          <w:rFonts w:hint="eastAsia" w:eastAsia="宋体"/>
          <w:b/>
          <w:bCs/>
          <w:color w:val="000000" w:themeColor="text1"/>
          <w:sz w:val="21"/>
          <w:szCs w:val="21"/>
          <w14:textFill>
            <w14:solidFill>
              <w14:schemeClr w14:val="tx1"/>
            </w14:solidFill>
          </w14:textFill>
        </w:rPr>
        <w:t>项目时间：</w:t>
      </w:r>
      <w:r>
        <w:rPr>
          <w:rFonts w:eastAsia="宋体"/>
          <w:bCs/>
          <w:color w:val="000000" w:themeColor="text1"/>
          <w:sz w:val="21"/>
          <w:szCs w:val="21"/>
          <w14:textFill>
            <w14:solidFill>
              <w14:schemeClr w14:val="tx1"/>
            </w14:solidFill>
          </w14:textFill>
        </w:rPr>
        <w:t>7</w:t>
      </w:r>
      <w:r>
        <w:rPr>
          <w:rFonts w:hint="eastAsia" w:eastAsia="宋体"/>
          <w:color w:val="000000" w:themeColor="text1"/>
          <w:sz w:val="21"/>
          <w:szCs w:val="21"/>
          <w14:textFill>
            <w14:solidFill>
              <w14:schemeClr w14:val="tx1"/>
            </w14:solidFill>
          </w14:textFill>
        </w:rPr>
        <w:t>月</w:t>
      </w:r>
      <w:r>
        <w:rPr>
          <w:rFonts w:eastAsia="宋体"/>
          <w:color w:val="000000" w:themeColor="text1"/>
          <w:sz w:val="21"/>
          <w:szCs w:val="21"/>
          <w14:textFill>
            <w14:solidFill>
              <w14:schemeClr w14:val="tx1"/>
            </w14:solidFill>
          </w14:textFill>
        </w:rPr>
        <w:t>20日-7</w:t>
      </w:r>
      <w:r>
        <w:rPr>
          <w:rFonts w:hint="eastAsia" w:eastAsia="宋体"/>
          <w:color w:val="000000" w:themeColor="text1"/>
          <w:sz w:val="21"/>
          <w:szCs w:val="21"/>
          <w14:textFill>
            <w14:solidFill>
              <w14:schemeClr w14:val="tx1"/>
            </w14:solidFill>
          </w14:textFill>
        </w:rPr>
        <w:t>月</w:t>
      </w:r>
      <w:r>
        <w:rPr>
          <w:rFonts w:eastAsia="宋体"/>
          <w:color w:val="000000" w:themeColor="text1"/>
          <w:sz w:val="21"/>
          <w:szCs w:val="21"/>
          <w14:textFill>
            <w14:solidFill>
              <w14:schemeClr w14:val="tx1"/>
            </w14:solidFill>
          </w14:textFill>
        </w:rPr>
        <w:t>31日</w:t>
      </w:r>
      <w:r>
        <w:rPr>
          <w:rFonts w:hint="eastAsia" w:eastAsia="宋体"/>
          <w:color w:val="000000" w:themeColor="text1"/>
          <w:sz w:val="21"/>
          <w:szCs w:val="21"/>
          <w14:textFill>
            <w14:solidFill>
              <w14:schemeClr w14:val="tx1"/>
            </w14:solidFill>
          </w14:textFill>
        </w:rPr>
        <w:t>(2周，不含往返）</w:t>
      </w:r>
      <w:r>
        <w:rPr>
          <w:rFonts w:hint="eastAsia" w:eastAsia="宋体"/>
          <w:color w:val="000000" w:themeColor="text1"/>
          <w:sz w:val="21"/>
          <w:szCs w:val="21"/>
          <w14:textFill>
            <w14:solidFill>
              <w14:schemeClr w14:val="tx1"/>
            </w14:solidFill>
          </w14:textFill>
        </w:rPr>
        <w:br w:type="textWrapping"/>
      </w:r>
      <w:r>
        <w:rPr>
          <w:rFonts w:hint="eastAsia" w:eastAsia="宋体"/>
          <w:b/>
          <w:bCs/>
          <w:color w:val="000000" w:themeColor="text1"/>
          <w:sz w:val="21"/>
          <w:szCs w:val="21"/>
          <w14:textFill>
            <w14:solidFill>
              <w14:schemeClr w14:val="tx1"/>
            </w14:solidFill>
          </w14:textFill>
        </w:rPr>
        <w:t>成团人数：</w:t>
      </w:r>
      <w:r>
        <w:rPr>
          <w:rFonts w:eastAsia="宋体"/>
          <w:color w:val="000000" w:themeColor="text1"/>
          <w:sz w:val="21"/>
          <w:szCs w:val="21"/>
          <w14:textFill>
            <w14:solidFill>
              <w14:schemeClr w14:val="tx1"/>
            </w14:solidFill>
          </w14:textFill>
        </w:rPr>
        <w:t>30</w:t>
      </w:r>
      <w:r>
        <w:rPr>
          <w:rFonts w:hint="eastAsia" w:eastAsia="宋体"/>
          <w:color w:val="000000" w:themeColor="text1"/>
          <w:sz w:val="21"/>
          <w:szCs w:val="21"/>
          <w14:textFill>
            <w14:solidFill>
              <w14:schemeClr w14:val="tx1"/>
            </w14:solidFill>
          </w14:textFill>
        </w:rPr>
        <w:t>人以上成团(名额有限，尽早申请获得录取优势)</w:t>
      </w:r>
    </w:p>
    <w:p w14:paraId="28F911DE">
      <w:pPr>
        <w:pStyle w:val="14"/>
        <w:keepNext w:val="0"/>
        <w:keepLines w:val="0"/>
        <w:pageBreakBefore w:val="0"/>
        <w:kinsoku/>
        <w:wordWrap/>
        <w:overflowPunct/>
        <w:topLinePunct w:val="0"/>
        <w:bidi w:val="0"/>
        <w:snapToGrid/>
        <w:spacing w:line="24" w:lineRule="atLeast"/>
        <w:textAlignment w:val="auto"/>
        <w:rPr>
          <w:rFonts w:eastAsia="宋体"/>
          <w:color w:val="000000" w:themeColor="text1"/>
          <w:sz w:val="21"/>
          <w:szCs w:val="21"/>
          <w:u w:val="single"/>
          <w14:textFill>
            <w14:solidFill>
              <w14:schemeClr w14:val="tx1"/>
            </w14:solidFill>
          </w14:textFill>
        </w:rPr>
      </w:pPr>
      <w:r>
        <w:rPr>
          <w:rFonts w:hint="eastAsia" w:eastAsia="宋体"/>
          <w:b/>
          <w:bCs/>
          <w:color w:val="000000" w:themeColor="text1"/>
          <w:sz w:val="21"/>
          <w:szCs w:val="21"/>
          <w14:textFill>
            <w14:solidFill>
              <w14:schemeClr w14:val="tx1"/>
            </w14:solidFill>
          </w14:textFill>
        </w:rPr>
        <w:t>项目收获：</w:t>
      </w:r>
      <w:r>
        <w:rPr>
          <w:rFonts w:hint="eastAsia" w:eastAsia="宋体"/>
          <w:color w:val="000000" w:themeColor="text1"/>
          <w:sz w:val="21"/>
          <w:szCs w:val="21"/>
          <w14:textFill>
            <w14:solidFill>
              <w14:schemeClr w14:val="tx1"/>
            </w14:solidFill>
          </w14:textFill>
        </w:rPr>
        <w:t>官方证书；小组成绩报告；优秀小组获得额外证书和礼物</w:t>
      </w:r>
    </w:p>
    <w:p w14:paraId="762F4BEF">
      <w:pPr>
        <w:pStyle w:val="14"/>
        <w:keepNext w:val="0"/>
        <w:keepLines w:val="0"/>
        <w:pageBreakBefore w:val="0"/>
        <w:kinsoku/>
        <w:wordWrap/>
        <w:overflowPunct/>
        <w:topLinePunct w:val="0"/>
        <w:bidi w:val="0"/>
        <w:snapToGrid/>
        <w:spacing w:line="24" w:lineRule="atLeast"/>
        <w:jc w:val="both"/>
        <w:textAlignment w:val="auto"/>
        <w:rPr>
          <w:rFonts w:eastAsia="宋体"/>
          <w:color w:val="000000" w:themeColor="text1"/>
          <w:sz w:val="21"/>
          <w:szCs w:val="21"/>
          <w14:textFill>
            <w14:solidFill>
              <w14:schemeClr w14:val="tx1"/>
            </w14:solidFill>
          </w14:textFill>
        </w:rPr>
      </w:pPr>
      <w:r>
        <w:rPr>
          <w:rFonts w:hint="eastAsia" w:eastAsia="宋体"/>
          <w:b/>
          <w:bCs/>
          <w:color w:val="000000" w:themeColor="text1"/>
          <w:sz w:val="21"/>
          <w:szCs w:val="21"/>
          <w14:textFill>
            <w14:solidFill>
              <w14:schemeClr w14:val="tx1"/>
            </w14:solidFill>
          </w14:textFill>
        </w:rPr>
        <w:t>项目费用：</w:t>
      </w:r>
      <w:r>
        <w:rPr>
          <w:rFonts w:eastAsia="宋体"/>
          <w:color w:val="000000" w:themeColor="text1"/>
          <w:sz w:val="21"/>
          <w:szCs w:val="21"/>
          <w14:textFill>
            <w14:solidFill>
              <w14:schemeClr w14:val="tx1"/>
            </w14:solidFill>
          </w14:textFill>
        </w:rPr>
        <w:t>3550英镑（根据汇率9，约31900元人民币</w:t>
      </w:r>
      <w:r>
        <w:rPr>
          <w:rFonts w:hint="eastAsia" w:eastAsia="宋体"/>
          <w:color w:val="000000" w:themeColor="text1"/>
          <w:sz w:val="21"/>
          <w:szCs w:val="21"/>
          <w14:textFill>
            <w14:solidFill>
              <w14:schemeClr w14:val="tx1"/>
            </w14:solidFill>
          </w14:textFill>
        </w:rPr>
        <w:t>，缴纳时以银行当天外币汇率为准）</w:t>
      </w:r>
    </w:p>
    <w:p w14:paraId="0F810B4F">
      <w:pPr>
        <w:pStyle w:val="14"/>
        <w:keepNext w:val="0"/>
        <w:keepLines w:val="0"/>
        <w:pageBreakBefore w:val="0"/>
        <w:kinsoku/>
        <w:wordWrap/>
        <w:overflowPunct/>
        <w:topLinePunct w:val="0"/>
        <w:bidi w:val="0"/>
        <w:snapToGrid/>
        <w:spacing w:line="24" w:lineRule="atLeast"/>
        <w:jc w:val="both"/>
        <w:textAlignment w:val="auto"/>
        <w:rPr>
          <w:rFonts w:eastAsia="宋体"/>
          <w:color w:val="000000" w:themeColor="text1"/>
          <w:sz w:val="21"/>
          <w:szCs w:val="21"/>
          <w14:textFill>
            <w14:solidFill>
              <w14:schemeClr w14:val="tx1"/>
            </w14:solidFill>
          </w14:textFill>
        </w:rPr>
      </w:pPr>
      <w:r>
        <w:rPr>
          <w:rFonts w:hint="eastAsia" w:eastAsia="宋体"/>
          <w:color w:val="000000" w:themeColor="text1"/>
          <w:sz w:val="21"/>
          <w:szCs w:val="21"/>
          <w14:textFill>
            <w14:solidFill>
              <w14:schemeClr w14:val="tx1"/>
            </w14:solidFill>
          </w14:textFill>
        </w:rPr>
        <w:t>包括：</w:t>
      </w:r>
      <w:r>
        <w:rPr>
          <w:rFonts w:eastAsia="宋体"/>
          <w:color w:val="1F2225"/>
          <w:sz w:val="21"/>
          <w:szCs w:val="21"/>
        </w:rPr>
        <w:t>两周线下课程、学习材料、住宿、早餐、牛津交通卡、英国电话卡、集体参访、团体航班接送机、英国签证办理（不含签证费）</w:t>
      </w:r>
      <w:r>
        <w:rPr>
          <w:rFonts w:hint="eastAsia" w:eastAsia="宋体"/>
          <w:color w:val="1F2225"/>
          <w:sz w:val="21"/>
          <w:szCs w:val="21"/>
        </w:rPr>
        <w:t>；不包括：保险、签证费、机票、部分餐食。</w:t>
      </w:r>
    </w:p>
    <w:p w14:paraId="3FE43E42">
      <w:pPr>
        <w:keepNext w:val="0"/>
        <w:keepLines w:val="0"/>
        <w:pageBreakBefore w:val="0"/>
        <w:tabs>
          <w:tab w:val="left" w:pos="562"/>
        </w:tabs>
        <w:kinsoku/>
        <w:wordWrap/>
        <w:overflowPunct/>
        <w:topLinePunct w:val="0"/>
        <w:bidi w:val="0"/>
        <w:snapToGrid/>
        <w:spacing w:line="24" w:lineRule="atLeast"/>
        <w:textAlignment w:val="auto"/>
        <w:rPr>
          <w:rFonts w:ascii="宋体" w:hAnsi="宋体" w:eastAsia="宋体" w:cs="宋体"/>
          <w:color w:val="000000" w:themeColor="text1"/>
          <w:kern w:val="0"/>
          <w:szCs w:val="21"/>
          <w:lang w:val="en-US"/>
          <w14:textFill>
            <w14:solidFill>
              <w14:schemeClr w14:val="tx1"/>
            </w14:solidFill>
          </w14:textFill>
        </w:rPr>
      </w:pPr>
      <w:r>
        <w:rPr>
          <w:rFonts w:ascii="宋体" w:hAnsi="宋体" w:eastAsia="宋体" w:cs="宋体"/>
          <w:b/>
          <w:bCs/>
          <w:color w:val="000000" w:themeColor="text1"/>
          <w:kern w:val="0"/>
          <w:szCs w:val="21"/>
          <w:lang w:val="en-US"/>
          <w14:textFill>
            <w14:solidFill>
              <w14:schemeClr w14:val="tx1"/>
            </w14:solidFill>
          </w14:textFill>
        </w:rPr>
        <w:t>奖学金</w:t>
      </w:r>
      <w:r>
        <w:rPr>
          <w:rFonts w:hint="eastAsia" w:ascii="宋体" w:hAnsi="宋体" w:eastAsia="宋体" w:cs="宋体"/>
          <w:b/>
          <w:bCs/>
          <w:color w:val="000000" w:themeColor="text1"/>
          <w:kern w:val="0"/>
          <w:szCs w:val="21"/>
          <w:lang w:val="en-US"/>
          <w14:textFill>
            <w14:solidFill>
              <w14:schemeClr w14:val="tx1"/>
            </w14:solidFill>
          </w14:textFill>
        </w:rPr>
        <w:t>：</w:t>
      </w:r>
      <w:r>
        <w:rPr>
          <w:rFonts w:ascii="宋体" w:hAnsi="宋体" w:eastAsia="宋体" w:cs="宋体"/>
          <w:color w:val="000000" w:themeColor="text1"/>
          <w:kern w:val="0"/>
          <w:szCs w:val="21"/>
          <w:lang w:val="en-US"/>
          <w14:textFill>
            <w14:solidFill>
              <w14:schemeClr w14:val="tx1"/>
            </w14:solidFill>
          </w14:textFill>
        </w:rPr>
        <w:t>参加学生有机会获得200-2000元</w:t>
      </w:r>
      <w:r>
        <w:rPr>
          <w:rFonts w:hint="eastAsia" w:ascii="宋体" w:hAnsi="宋体" w:eastAsia="宋体" w:cs="宋体"/>
          <w:color w:val="000000" w:themeColor="text1"/>
          <w:kern w:val="0"/>
          <w:szCs w:val="21"/>
          <w:lang w:val="en-US"/>
          <w14:textFill>
            <w14:solidFill>
              <w14:schemeClr w14:val="tx1"/>
            </w14:solidFill>
          </w14:textFill>
        </w:rPr>
        <w:t>项目</w:t>
      </w:r>
      <w:r>
        <w:rPr>
          <w:rFonts w:ascii="宋体" w:hAnsi="宋体" w:eastAsia="宋体" w:cs="宋体"/>
          <w:color w:val="000000" w:themeColor="text1"/>
          <w:kern w:val="0"/>
          <w:szCs w:val="21"/>
          <w:lang w:val="en-US"/>
          <w14:textFill>
            <w14:solidFill>
              <w14:schemeClr w14:val="tx1"/>
            </w14:solidFill>
          </w14:textFill>
        </w:rPr>
        <w:t>大使奖学金</w:t>
      </w:r>
      <w:r>
        <w:rPr>
          <w:rFonts w:hint="eastAsia" w:ascii="宋体" w:hAnsi="宋体" w:eastAsia="宋体" w:cs="宋体"/>
          <w:color w:val="000000" w:themeColor="text1"/>
          <w:kern w:val="0"/>
          <w:szCs w:val="21"/>
          <w:lang w:val="en-US"/>
          <w14:textFill>
            <w14:solidFill>
              <w14:schemeClr w14:val="tx1"/>
            </w14:solidFill>
          </w14:textFill>
        </w:rPr>
        <w:t>（详情咨询项目报名负责老师）</w:t>
      </w:r>
    </w:p>
    <w:p w14:paraId="6C7EDDB2">
      <w:pPr>
        <w:keepNext w:val="0"/>
        <w:keepLines w:val="0"/>
        <w:pageBreakBefore w:val="0"/>
        <w:tabs>
          <w:tab w:val="left" w:pos="562"/>
        </w:tabs>
        <w:kinsoku/>
        <w:wordWrap/>
        <w:overflowPunct/>
        <w:topLinePunct w:val="0"/>
        <w:bidi w:val="0"/>
        <w:snapToGrid/>
        <w:spacing w:line="24" w:lineRule="atLeast"/>
        <w:textAlignment w:val="auto"/>
        <w:rPr>
          <w:rFonts w:hint="eastAsia" w:ascii="宋体" w:hAnsi="宋体" w:eastAsia="宋体" w:cs="宋体"/>
          <w:color w:val="000000" w:themeColor="text1"/>
          <w:kern w:val="0"/>
          <w:szCs w:val="21"/>
          <w:lang w:val="en-US"/>
          <w14:textFill>
            <w14:solidFill>
              <w14:schemeClr w14:val="tx1"/>
            </w14:solidFill>
          </w14:textFill>
        </w:rPr>
      </w:pPr>
    </w:p>
    <w:p w14:paraId="323546F7">
      <w:pPr>
        <w:keepNext w:val="0"/>
        <w:keepLines w:val="0"/>
        <w:pageBreakBefore w:val="0"/>
        <w:numPr>
          <w:numId w:val="0"/>
        </w:numPr>
        <w:tabs>
          <w:tab w:val="left" w:pos="562"/>
        </w:tabs>
        <w:kinsoku/>
        <w:wordWrap/>
        <w:overflowPunct/>
        <w:topLinePunct w:val="0"/>
        <w:bidi w:val="0"/>
        <w:snapToGrid/>
        <w:spacing w:line="24" w:lineRule="atLeast"/>
        <w:textAlignment w:val="auto"/>
        <w:rPr>
          <w:rFonts w:ascii="宋体" w:hAnsi="宋体" w:eastAsia="宋体"/>
          <w:b/>
          <w:bCs/>
          <w:color w:val="000000" w:themeColor="text1"/>
          <w:szCs w:val="21"/>
          <w:lang w:val="en-US"/>
          <w14:textFill>
            <w14:solidFill>
              <w14:schemeClr w14:val="tx1"/>
            </w14:solidFill>
          </w14:textFill>
        </w:rPr>
      </w:pPr>
      <w:r>
        <w:rPr>
          <w:rFonts w:hint="eastAsia" w:ascii="宋体" w:hAnsi="宋体" w:eastAsia="宋体"/>
          <w:b/>
          <w:bCs/>
          <w:color w:val="000000" w:themeColor="text1"/>
          <w:szCs w:val="21"/>
          <w:lang w:val="en-US" w:eastAsia="zh-CN"/>
          <w14:textFill>
            <w14:solidFill>
              <w14:schemeClr w14:val="tx1"/>
            </w14:solidFill>
          </w14:textFill>
        </w:rPr>
        <w:t>七、</w:t>
      </w:r>
      <w:r>
        <w:rPr>
          <w:rFonts w:hint="eastAsia" w:ascii="宋体" w:hAnsi="宋体" w:eastAsia="宋体"/>
          <w:b/>
          <w:bCs/>
          <w:color w:val="000000" w:themeColor="text1"/>
          <w:szCs w:val="21"/>
          <w:lang w:val="en-US"/>
          <w14:textFill>
            <w14:solidFill>
              <w14:schemeClr w14:val="tx1"/>
            </w14:solidFill>
          </w14:textFill>
        </w:rPr>
        <w:t>项目申请</w:t>
      </w:r>
    </w:p>
    <w:p w14:paraId="40F0352B">
      <w:pPr>
        <w:pStyle w:val="14"/>
        <w:keepNext w:val="0"/>
        <w:keepLines w:val="0"/>
        <w:pageBreakBefore w:val="0"/>
        <w:kinsoku/>
        <w:wordWrap/>
        <w:overflowPunct/>
        <w:topLinePunct w:val="0"/>
        <w:bidi w:val="0"/>
        <w:snapToGrid/>
        <w:spacing w:line="24" w:lineRule="atLeast"/>
        <w:textAlignment w:val="auto"/>
        <w:rPr>
          <w:rFonts w:eastAsia="宋体"/>
          <w:color w:val="000000" w:themeColor="text1"/>
          <w:sz w:val="21"/>
          <w:szCs w:val="21"/>
          <w:u w:val="single"/>
          <w14:textFill>
            <w14:solidFill>
              <w14:schemeClr w14:val="tx1"/>
            </w14:solidFill>
          </w14:textFill>
        </w:rPr>
      </w:pPr>
      <w:r>
        <w:rPr>
          <w:rFonts w:hint="eastAsia" w:eastAsia="宋体"/>
          <w:color w:val="000000" w:themeColor="text1"/>
          <w:sz w:val="21"/>
          <w:szCs w:val="21"/>
          <w14:textFill>
            <w14:solidFill>
              <w14:schemeClr w14:val="tx1"/>
            </w14:solidFill>
          </w14:textFill>
        </w:rPr>
        <w:t>申请要求：本科生、研究生；英语最低要求(满足一项即可)：托福76、雅思6、四级450、六级430、高考英语110分、多领国95；无语言成绩者可面试，面试通过替代语言成绩。(申请人数多，签证慢，无护照者需尽快着手准备护照)</w:t>
      </w:r>
      <w:r>
        <w:rPr>
          <w:rFonts w:hint="eastAsia" w:eastAsia="宋体"/>
          <w:color w:val="000000" w:themeColor="text1"/>
          <w:sz w:val="21"/>
          <w:szCs w:val="21"/>
          <w14:textFill>
            <w14:solidFill>
              <w14:schemeClr w14:val="tx1"/>
            </w14:solidFill>
          </w14:textFill>
        </w:rPr>
        <w:br w:type="textWrapping"/>
      </w:r>
      <w:r>
        <w:rPr>
          <w:rFonts w:hint="eastAsia" w:eastAsia="宋体"/>
          <w:color w:val="000000" w:themeColor="text1"/>
          <w:sz w:val="21"/>
          <w:szCs w:val="21"/>
          <w14:textFill>
            <w14:solidFill>
              <w14:schemeClr w14:val="tx1"/>
            </w14:solidFill>
          </w14:textFill>
        </w:rPr>
        <w:t>申请截止日期：</w:t>
      </w:r>
      <w:r>
        <w:rPr>
          <w:rFonts w:eastAsia="宋体"/>
          <w:color w:val="000000" w:themeColor="text1"/>
          <w:sz w:val="21"/>
          <w:szCs w:val="21"/>
          <w14:textFill>
            <w14:solidFill>
              <w14:schemeClr w14:val="tx1"/>
            </w14:solidFill>
          </w14:textFill>
        </w:rPr>
        <w:t>5</w:t>
      </w:r>
      <w:r>
        <w:rPr>
          <w:rFonts w:hint="eastAsia" w:eastAsia="宋体"/>
          <w:color w:val="000000" w:themeColor="text1"/>
          <w:sz w:val="21"/>
          <w:szCs w:val="21"/>
          <w14:textFill>
            <w14:solidFill>
              <w14:schemeClr w14:val="tx1"/>
            </w14:solidFill>
          </w14:textFill>
        </w:rPr>
        <w:t>月15号</w:t>
      </w:r>
      <w:bookmarkStart w:id="1" w:name="_GoBack"/>
      <w:bookmarkEnd w:id="1"/>
    </w:p>
    <w:p w14:paraId="5A347861">
      <w:pPr>
        <w:pStyle w:val="14"/>
        <w:keepNext w:val="0"/>
        <w:keepLines w:val="0"/>
        <w:pageBreakBefore w:val="0"/>
        <w:kinsoku/>
        <w:wordWrap/>
        <w:overflowPunct/>
        <w:topLinePunct w:val="0"/>
        <w:bidi w:val="0"/>
        <w:snapToGrid/>
        <w:spacing w:line="24" w:lineRule="atLeast"/>
        <w:jc w:val="both"/>
        <w:textAlignment w:val="auto"/>
        <w:rPr>
          <w:rFonts w:eastAsia="宋体"/>
          <w:b/>
          <w:bCs/>
          <w:color w:val="000000" w:themeColor="text1"/>
          <w:sz w:val="21"/>
          <w:szCs w:val="21"/>
          <w14:textFill>
            <w14:solidFill>
              <w14:schemeClr w14:val="tx1"/>
            </w14:solidFill>
          </w14:textFill>
        </w:rPr>
      </w:pPr>
    </w:p>
    <w:p w14:paraId="29FAFF33">
      <w:pPr>
        <w:pStyle w:val="14"/>
        <w:keepNext w:val="0"/>
        <w:keepLines w:val="0"/>
        <w:pageBreakBefore w:val="0"/>
        <w:kinsoku/>
        <w:wordWrap/>
        <w:overflowPunct/>
        <w:topLinePunct w:val="0"/>
        <w:bidi w:val="0"/>
        <w:snapToGrid/>
        <w:spacing w:line="24" w:lineRule="atLeast"/>
        <w:jc w:val="both"/>
        <w:textAlignment w:val="auto"/>
        <w:rPr>
          <w:rFonts w:eastAsia="宋体"/>
          <w:b/>
          <w:bCs/>
          <w:color w:val="000000" w:themeColor="text1"/>
          <w:sz w:val="21"/>
          <w:szCs w:val="21"/>
          <w14:textFill>
            <w14:solidFill>
              <w14:schemeClr w14:val="tx1"/>
            </w14:solidFill>
          </w14:textFill>
        </w:rPr>
      </w:pPr>
      <w:r>
        <w:rPr>
          <w:rFonts w:hint="eastAsia" w:eastAsia="宋体"/>
          <w:b/>
          <w:bCs/>
          <w:color w:val="000000" w:themeColor="text1"/>
          <w:sz w:val="21"/>
          <w:szCs w:val="21"/>
          <w14:textFill>
            <w14:solidFill>
              <w14:schemeClr w14:val="tx1"/>
            </w14:solidFill>
          </w14:textFill>
        </w:rPr>
        <w:t>牛津大学药学项目中国授权方报名：</w:t>
      </w:r>
    </w:p>
    <w:p w14:paraId="1D1D18D4">
      <w:pPr>
        <w:pStyle w:val="14"/>
        <w:keepNext w:val="0"/>
        <w:keepLines w:val="0"/>
        <w:pageBreakBefore w:val="0"/>
        <w:kinsoku/>
        <w:wordWrap/>
        <w:overflowPunct/>
        <w:topLinePunct w:val="0"/>
        <w:bidi w:val="0"/>
        <w:snapToGrid/>
        <w:spacing w:line="24" w:lineRule="atLeast"/>
        <w:jc w:val="both"/>
        <w:textAlignment w:val="auto"/>
        <w:rPr>
          <w:rFonts w:eastAsia="宋体"/>
          <w:color w:val="000000" w:themeColor="text1"/>
          <w:sz w:val="21"/>
          <w:szCs w:val="21"/>
          <w14:textFill>
            <w14:solidFill>
              <w14:schemeClr w14:val="tx1"/>
            </w14:solidFill>
          </w14:textFill>
        </w:rPr>
      </w:pPr>
      <w:r>
        <w:rPr>
          <w:rFonts w:hint="eastAsia" w:eastAsia="宋体"/>
          <w:color w:val="000000" w:themeColor="text1"/>
          <w:sz w:val="21"/>
          <w:szCs w:val="21"/>
          <w:lang w:eastAsia="zh-Hans"/>
          <w14:textFill>
            <w14:solidFill>
              <w14:schemeClr w14:val="tx1"/>
            </w14:solidFill>
          </w14:textFill>
        </w:rPr>
        <w:t>屈</w:t>
      </w:r>
      <w:r>
        <w:rPr>
          <w:rFonts w:hint="eastAsia" w:eastAsia="宋体"/>
          <w:color w:val="000000" w:themeColor="text1"/>
          <w:sz w:val="21"/>
          <w:szCs w:val="21"/>
          <w14:textFill>
            <w14:solidFill>
              <w14:schemeClr w14:val="tx1"/>
            </w14:solidFill>
          </w14:textFill>
        </w:rPr>
        <w:t>老师，微信号ispconsultant（可微信咨询或报名，请标注国内学校+专业+姓名）</w:t>
      </w:r>
    </w:p>
    <w:p w14:paraId="004E3391">
      <w:pPr>
        <w:pStyle w:val="14"/>
        <w:keepNext w:val="0"/>
        <w:keepLines w:val="0"/>
        <w:pageBreakBefore w:val="0"/>
        <w:kinsoku/>
        <w:wordWrap/>
        <w:overflowPunct/>
        <w:topLinePunct w:val="0"/>
        <w:bidi w:val="0"/>
        <w:snapToGrid/>
        <w:spacing w:line="24" w:lineRule="atLeast"/>
        <w:jc w:val="both"/>
        <w:textAlignment w:val="auto"/>
        <w:rPr>
          <w:rFonts w:eastAsia="宋体"/>
          <w:color w:val="000000" w:themeColor="text1"/>
          <w:sz w:val="21"/>
          <w:szCs w:val="21"/>
          <w14:textFill>
            <w14:solidFill>
              <w14:schemeClr w14:val="tx1"/>
            </w14:solidFill>
          </w14:textFill>
        </w:rPr>
      </w:pPr>
      <w:r>
        <w:rPr>
          <w:rFonts w:eastAsia="宋体"/>
          <w:sz w:val="21"/>
          <w:szCs w:val="21"/>
        </w:rPr>
        <w:drawing>
          <wp:inline distT="0" distB="0" distL="114300" distR="114300">
            <wp:extent cx="952500" cy="956310"/>
            <wp:effectExtent l="0" t="0" r="12700" b="889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952500" cy="956310"/>
                    </a:xfrm>
                    <a:prstGeom prst="rect">
                      <a:avLst/>
                    </a:prstGeom>
                    <a:noFill/>
                    <a:ln w="9525">
                      <a:noFill/>
                    </a:ln>
                  </pic:spPr>
                </pic:pic>
              </a:graphicData>
            </a:graphic>
          </wp:inline>
        </w:drawing>
      </w:r>
      <w:r>
        <w:rPr>
          <w:rFonts w:hint="eastAsia" w:eastAsia="宋体"/>
          <w:color w:val="000000" w:themeColor="text1"/>
          <w:sz w:val="21"/>
          <w:szCs w:val="21"/>
          <w14:textFill>
            <w14:solidFill>
              <w14:schemeClr w14:val="tx1"/>
            </w14:solidFill>
          </w14:textFill>
        </w:rPr>
        <w:drawing>
          <wp:inline distT="0" distB="0" distL="0" distR="0">
            <wp:extent cx="1038860" cy="1038860"/>
            <wp:effectExtent l="0" t="0" r="2540" b="2540"/>
            <wp:docPr id="4" name="图片 1" descr="D:\1-ISP\临时\二维码\校内申请中的问与答.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D:\1-ISP\临时\二维码\校内申请中的问与答.jpg"/>
                    <pic:cNvPicPr>
                      <a:picLocks noChangeAspect="1" noChangeArrowheads="1"/>
                    </pic:cNvPicPr>
                  </pic:nvPicPr>
                  <pic:blipFill>
                    <a:blip r:embed="rId5"/>
                    <a:srcRect/>
                    <a:stretch>
                      <a:fillRect/>
                    </a:stretch>
                  </pic:blipFill>
                  <pic:spPr>
                    <a:xfrm>
                      <a:off x="0" y="0"/>
                      <a:ext cx="1038860" cy="1038860"/>
                    </a:xfrm>
                    <a:prstGeom prst="rect">
                      <a:avLst/>
                    </a:prstGeom>
                    <a:noFill/>
                    <a:ln w="9525">
                      <a:noFill/>
                      <a:miter lim="800000"/>
                      <a:headEnd/>
                      <a:tailEnd/>
                    </a:ln>
                  </pic:spPr>
                </pic:pic>
              </a:graphicData>
            </a:graphic>
          </wp:inline>
        </w:drawing>
      </w:r>
    </w:p>
    <w:p w14:paraId="531CFE24">
      <w:pPr>
        <w:pStyle w:val="14"/>
        <w:keepNext w:val="0"/>
        <w:keepLines w:val="0"/>
        <w:pageBreakBefore w:val="0"/>
        <w:kinsoku/>
        <w:wordWrap/>
        <w:overflowPunct/>
        <w:topLinePunct w:val="0"/>
        <w:bidi w:val="0"/>
        <w:snapToGrid/>
        <w:spacing w:line="24" w:lineRule="atLeast"/>
        <w:jc w:val="both"/>
        <w:textAlignment w:val="auto"/>
        <w:rPr>
          <w:rFonts w:eastAsia="宋体"/>
          <w:color w:val="000000" w:themeColor="text1"/>
          <w:sz w:val="21"/>
          <w:szCs w:val="21"/>
          <w14:textFill>
            <w14:solidFill>
              <w14:schemeClr w14:val="tx1"/>
            </w14:solidFill>
          </w14:textFill>
        </w:rPr>
      </w:pPr>
      <w:r>
        <w:rPr>
          <w:rFonts w:hint="eastAsia" w:eastAsia="宋体"/>
          <w:color w:val="000000" w:themeColor="text1"/>
          <w:sz w:val="21"/>
          <w:szCs w:val="21"/>
          <w14:textFill>
            <w14:solidFill>
              <w14:schemeClr w14:val="tx1"/>
            </w14:solidFill>
          </w14:textFill>
        </w:rPr>
        <w:t>更多项目信息，关注上方微信公众号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等线 Light">
    <w:altName w:val="汉仪中等线KW"/>
    <w:panose1 w:val="02010600030101010101"/>
    <w:charset w:val="86"/>
    <w:family w:val="auto"/>
    <w:pitch w:val="default"/>
    <w:sig w:usb0="00000000" w:usb1="00000000" w:usb2="00000016" w:usb3="00000000" w:csb0="0004000F" w:csb1="00000000"/>
  </w:font>
  <w:font w:name="Courier New">
    <w:panose1 w:val="02070609020205020404"/>
    <w:charset w:val="00"/>
    <w:family w:val="modern"/>
    <w:pitch w:val="default"/>
    <w:sig w:usb0="E0002AFF" w:usb1="C0007843" w:usb2="00000009" w:usb3="00000000" w:csb0="400001FF" w:csb1="FFFF0000"/>
  </w:font>
  <w:font w:name="汉仪中等线KW">
    <w:panose1 w:val="01010104010101010101"/>
    <w:charset w:val="86"/>
    <w:family w:val="auto"/>
    <w:pitch w:val="default"/>
    <w:sig w:usb0="800002BF" w:usb1="004F7CFA" w:usb2="00000000" w:usb3="00000000" w:csb0="0004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等线 Light">
    <w:altName w:val="汉仪中等线KW"/>
    <w:panose1 w:val="00000000000000000000"/>
    <w:charset w:val="00"/>
    <w:family w:val="auto"/>
    <w:pitch w:val="default"/>
    <w:sig w:usb0="00000000" w:usb1="00000000" w:usb2="00000000" w:usb3="00000000" w:csb0="00000000" w:csb1="00000000"/>
  </w:font>
  <w:font w:name="宋体-简">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C6BED7"/>
    <w:multiLevelType w:val="singleLevel"/>
    <w:tmpl w:val="EAC6BED7"/>
    <w:lvl w:ilvl="0" w:tentative="0">
      <w:start w:val="1"/>
      <w:numFmt w:val="decimal"/>
      <w:suff w:val="space"/>
      <w:lvlText w:val="%1."/>
      <w:lvlJc w:val="left"/>
    </w:lvl>
  </w:abstractNum>
  <w:abstractNum w:abstractNumId="1">
    <w:nsid w:val="052C1CA2"/>
    <w:multiLevelType w:val="multilevel"/>
    <w:tmpl w:val="052C1CA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A1728D9"/>
    <w:multiLevelType w:val="multilevel"/>
    <w:tmpl w:val="1A1728D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EB467F6"/>
    <w:multiLevelType w:val="multilevel"/>
    <w:tmpl w:val="2EB467F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5565D7C"/>
    <w:multiLevelType w:val="multilevel"/>
    <w:tmpl w:val="35565D7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86B24F6"/>
    <w:multiLevelType w:val="multilevel"/>
    <w:tmpl w:val="386B24F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4CD71F1"/>
    <w:multiLevelType w:val="multilevel"/>
    <w:tmpl w:val="54CD71F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65CD2CE6"/>
    <w:multiLevelType w:val="multilevel"/>
    <w:tmpl w:val="65CD2CE6"/>
    <w:lvl w:ilvl="0" w:tentative="0">
      <w:start w:val="1"/>
      <w:numFmt w:val="bullet"/>
      <w:lvlText w:val="-"/>
      <w:lvlJc w:val="left"/>
      <w:pPr>
        <w:ind w:left="720" w:hanging="360"/>
      </w:pPr>
      <w:rPr>
        <w:rFonts w:hint="default" w:ascii="Calibri" w:hAnsi="Calibri"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7"/>
  </w:num>
  <w:num w:numId="4">
    <w:abstractNumId w:val="6"/>
  </w:num>
  <w:num w:numId="5">
    <w:abstractNumId w:val="5"/>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A65"/>
    <w:rsid w:val="000015A6"/>
    <w:rsid w:val="00011A11"/>
    <w:rsid w:val="000252BC"/>
    <w:rsid w:val="0003278B"/>
    <w:rsid w:val="000370F9"/>
    <w:rsid w:val="000452F8"/>
    <w:rsid w:val="00047926"/>
    <w:rsid w:val="00066251"/>
    <w:rsid w:val="000713BC"/>
    <w:rsid w:val="00083545"/>
    <w:rsid w:val="00083D69"/>
    <w:rsid w:val="000A2813"/>
    <w:rsid w:val="000A378E"/>
    <w:rsid w:val="000A5D61"/>
    <w:rsid w:val="000B225F"/>
    <w:rsid w:val="000C157D"/>
    <w:rsid w:val="000C75A5"/>
    <w:rsid w:val="000D2FE1"/>
    <w:rsid w:val="000E2CEE"/>
    <w:rsid w:val="000E5638"/>
    <w:rsid w:val="000E5949"/>
    <w:rsid w:val="000F3C0F"/>
    <w:rsid w:val="000F69A8"/>
    <w:rsid w:val="000F7DE4"/>
    <w:rsid w:val="00110E3B"/>
    <w:rsid w:val="00127889"/>
    <w:rsid w:val="00127AB2"/>
    <w:rsid w:val="00133EEE"/>
    <w:rsid w:val="00141581"/>
    <w:rsid w:val="00145DF5"/>
    <w:rsid w:val="00150503"/>
    <w:rsid w:val="00155BB9"/>
    <w:rsid w:val="001623F7"/>
    <w:rsid w:val="0016797E"/>
    <w:rsid w:val="00170A7F"/>
    <w:rsid w:val="00170DB9"/>
    <w:rsid w:val="00172CA1"/>
    <w:rsid w:val="001744C7"/>
    <w:rsid w:val="001828D6"/>
    <w:rsid w:val="00195BE9"/>
    <w:rsid w:val="001A4CC9"/>
    <w:rsid w:val="001B03AF"/>
    <w:rsid w:val="001C00B3"/>
    <w:rsid w:val="001D204F"/>
    <w:rsid w:val="001D2D27"/>
    <w:rsid w:val="001D5951"/>
    <w:rsid w:val="001E1C2B"/>
    <w:rsid w:val="002013E2"/>
    <w:rsid w:val="00205705"/>
    <w:rsid w:val="002062A8"/>
    <w:rsid w:val="0020663B"/>
    <w:rsid w:val="00216260"/>
    <w:rsid w:val="00244A6C"/>
    <w:rsid w:val="00255E37"/>
    <w:rsid w:val="00271C3B"/>
    <w:rsid w:val="002779D4"/>
    <w:rsid w:val="00286081"/>
    <w:rsid w:val="00290463"/>
    <w:rsid w:val="002925E1"/>
    <w:rsid w:val="002B1037"/>
    <w:rsid w:val="002B5E02"/>
    <w:rsid w:val="002C36E7"/>
    <w:rsid w:val="002C42A5"/>
    <w:rsid w:val="002D3CAD"/>
    <w:rsid w:val="002D41DD"/>
    <w:rsid w:val="002D78FC"/>
    <w:rsid w:val="00302AE3"/>
    <w:rsid w:val="0030375B"/>
    <w:rsid w:val="0030523F"/>
    <w:rsid w:val="0030700D"/>
    <w:rsid w:val="003456BB"/>
    <w:rsid w:val="00352A65"/>
    <w:rsid w:val="00381201"/>
    <w:rsid w:val="0038542F"/>
    <w:rsid w:val="00386450"/>
    <w:rsid w:val="003909D2"/>
    <w:rsid w:val="00392E48"/>
    <w:rsid w:val="0039630B"/>
    <w:rsid w:val="003A5A8C"/>
    <w:rsid w:val="003B4C1B"/>
    <w:rsid w:val="003C19AA"/>
    <w:rsid w:val="003C79CE"/>
    <w:rsid w:val="003E2AF1"/>
    <w:rsid w:val="00403487"/>
    <w:rsid w:val="00403D98"/>
    <w:rsid w:val="00407C6F"/>
    <w:rsid w:val="004247E0"/>
    <w:rsid w:val="00466CFB"/>
    <w:rsid w:val="004A6C62"/>
    <w:rsid w:val="00502EEB"/>
    <w:rsid w:val="00503028"/>
    <w:rsid w:val="005116E5"/>
    <w:rsid w:val="005128A4"/>
    <w:rsid w:val="00513B91"/>
    <w:rsid w:val="00550CBC"/>
    <w:rsid w:val="005749FB"/>
    <w:rsid w:val="005A2A79"/>
    <w:rsid w:val="005A4195"/>
    <w:rsid w:val="005B0D0B"/>
    <w:rsid w:val="005C2978"/>
    <w:rsid w:val="005C7B21"/>
    <w:rsid w:val="005D0A4E"/>
    <w:rsid w:val="005D38AF"/>
    <w:rsid w:val="005E478E"/>
    <w:rsid w:val="005F221A"/>
    <w:rsid w:val="00603E32"/>
    <w:rsid w:val="006130CA"/>
    <w:rsid w:val="00625607"/>
    <w:rsid w:val="00626C85"/>
    <w:rsid w:val="00630752"/>
    <w:rsid w:val="00633DE2"/>
    <w:rsid w:val="0063641B"/>
    <w:rsid w:val="006378EA"/>
    <w:rsid w:val="00641D5F"/>
    <w:rsid w:val="00647B9B"/>
    <w:rsid w:val="00661FC8"/>
    <w:rsid w:val="00675DB8"/>
    <w:rsid w:val="00685A1C"/>
    <w:rsid w:val="006862F6"/>
    <w:rsid w:val="006A0C03"/>
    <w:rsid w:val="006B5D6F"/>
    <w:rsid w:val="006D6A4B"/>
    <w:rsid w:val="006E7B34"/>
    <w:rsid w:val="006F629D"/>
    <w:rsid w:val="0072190D"/>
    <w:rsid w:val="007222F8"/>
    <w:rsid w:val="00723D0F"/>
    <w:rsid w:val="00744A20"/>
    <w:rsid w:val="00754989"/>
    <w:rsid w:val="0076496D"/>
    <w:rsid w:val="00764EE5"/>
    <w:rsid w:val="00793824"/>
    <w:rsid w:val="00793D40"/>
    <w:rsid w:val="007A6151"/>
    <w:rsid w:val="007A65DB"/>
    <w:rsid w:val="007C0E9D"/>
    <w:rsid w:val="007C645E"/>
    <w:rsid w:val="008117C5"/>
    <w:rsid w:val="008312CE"/>
    <w:rsid w:val="00845805"/>
    <w:rsid w:val="00873B0E"/>
    <w:rsid w:val="00886B11"/>
    <w:rsid w:val="0089174F"/>
    <w:rsid w:val="008A69B0"/>
    <w:rsid w:val="008C01FB"/>
    <w:rsid w:val="008C0737"/>
    <w:rsid w:val="008C7B51"/>
    <w:rsid w:val="008D4D6D"/>
    <w:rsid w:val="008F0183"/>
    <w:rsid w:val="008F10E7"/>
    <w:rsid w:val="008F5834"/>
    <w:rsid w:val="009112D3"/>
    <w:rsid w:val="00913AD2"/>
    <w:rsid w:val="00935B92"/>
    <w:rsid w:val="00937E1E"/>
    <w:rsid w:val="00944096"/>
    <w:rsid w:val="00953826"/>
    <w:rsid w:val="00962827"/>
    <w:rsid w:val="00970B38"/>
    <w:rsid w:val="0097415E"/>
    <w:rsid w:val="009800F5"/>
    <w:rsid w:val="00981862"/>
    <w:rsid w:val="009A7243"/>
    <w:rsid w:val="009B7729"/>
    <w:rsid w:val="009C12CB"/>
    <w:rsid w:val="009D1E33"/>
    <w:rsid w:val="009F1D4A"/>
    <w:rsid w:val="009F6A24"/>
    <w:rsid w:val="00A05D6E"/>
    <w:rsid w:val="00A061AA"/>
    <w:rsid w:val="00A12D2C"/>
    <w:rsid w:val="00A12F99"/>
    <w:rsid w:val="00A16A4E"/>
    <w:rsid w:val="00A2591F"/>
    <w:rsid w:val="00A31A3F"/>
    <w:rsid w:val="00A3246A"/>
    <w:rsid w:val="00A350CB"/>
    <w:rsid w:val="00A35B14"/>
    <w:rsid w:val="00A501FF"/>
    <w:rsid w:val="00A5289D"/>
    <w:rsid w:val="00A54421"/>
    <w:rsid w:val="00A62169"/>
    <w:rsid w:val="00A82FD9"/>
    <w:rsid w:val="00A9253C"/>
    <w:rsid w:val="00AA5DA5"/>
    <w:rsid w:val="00AC2512"/>
    <w:rsid w:val="00AD2722"/>
    <w:rsid w:val="00AD4386"/>
    <w:rsid w:val="00AE5640"/>
    <w:rsid w:val="00AE620F"/>
    <w:rsid w:val="00B07254"/>
    <w:rsid w:val="00B2799A"/>
    <w:rsid w:val="00B31C6C"/>
    <w:rsid w:val="00B37CF6"/>
    <w:rsid w:val="00B50786"/>
    <w:rsid w:val="00B553DC"/>
    <w:rsid w:val="00B6216B"/>
    <w:rsid w:val="00B851FC"/>
    <w:rsid w:val="00B87FF6"/>
    <w:rsid w:val="00B966EA"/>
    <w:rsid w:val="00BA6652"/>
    <w:rsid w:val="00BB0682"/>
    <w:rsid w:val="00BB598B"/>
    <w:rsid w:val="00BC126B"/>
    <w:rsid w:val="00BC5B88"/>
    <w:rsid w:val="00BD0E6D"/>
    <w:rsid w:val="00BD0FE9"/>
    <w:rsid w:val="00BD20FF"/>
    <w:rsid w:val="00BD22F4"/>
    <w:rsid w:val="00BD3C99"/>
    <w:rsid w:val="00BD43A6"/>
    <w:rsid w:val="00BE11EF"/>
    <w:rsid w:val="00BE6089"/>
    <w:rsid w:val="00BF1CDF"/>
    <w:rsid w:val="00BF531B"/>
    <w:rsid w:val="00BF6641"/>
    <w:rsid w:val="00C05830"/>
    <w:rsid w:val="00C20B68"/>
    <w:rsid w:val="00C346E3"/>
    <w:rsid w:val="00C40181"/>
    <w:rsid w:val="00C530EA"/>
    <w:rsid w:val="00C5466E"/>
    <w:rsid w:val="00C5487F"/>
    <w:rsid w:val="00C55669"/>
    <w:rsid w:val="00C62A27"/>
    <w:rsid w:val="00C62EC7"/>
    <w:rsid w:val="00C64933"/>
    <w:rsid w:val="00C7194D"/>
    <w:rsid w:val="00C72196"/>
    <w:rsid w:val="00C738EE"/>
    <w:rsid w:val="00C74B67"/>
    <w:rsid w:val="00C862DE"/>
    <w:rsid w:val="00C87BF5"/>
    <w:rsid w:val="00C974CE"/>
    <w:rsid w:val="00CB0727"/>
    <w:rsid w:val="00CB07D9"/>
    <w:rsid w:val="00CB21CF"/>
    <w:rsid w:val="00CB6D22"/>
    <w:rsid w:val="00CB6EB7"/>
    <w:rsid w:val="00CD43C5"/>
    <w:rsid w:val="00CE202C"/>
    <w:rsid w:val="00CF0D52"/>
    <w:rsid w:val="00D01541"/>
    <w:rsid w:val="00D05CA7"/>
    <w:rsid w:val="00D279DD"/>
    <w:rsid w:val="00D3262F"/>
    <w:rsid w:val="00D33350"/>
    <w:rsid w:val="00D45C4E"/>
    <w:rsid w:val="00D61112"/>
    <w:rsid w:val="00D6575C"/>
    <w:rsid w:val="00D7463E"/>
    <w:rsid w:val="00D7594C"/>
    <w:rsid w:val="00D940F2"/>
    <w:rsid w:val="00DD0421"/>
    <w:rsid w:val="00DD05BD"/>
    <w:rsid w:val="00DE6E53"/>
    <w:rsid w:val="00DF0845"/>
    <w:rsid w:val="00E02CAA"/>
    <w:rsid w:val="00E125B9"/>
    <w:rsid w:val="00E22BDC"/>
    <w:rsid w:val="00E24DC4"/>
    <w:rsid w:val="00E26B5A"/>
    <w:rsid w:val="00E552B9"/>
    <w:rsid w:val="00E65DE8"/>
    <w:rsid w:val="00E8220B"/>
    <w:rsid w:val="00E866ED"/>
    <w:rsid w:val="00E91B3F"/>
    <w:rsid w:val="00E947CB"/>
    <w:rsid w:val="00E97B8A"/>
    <w:rsid w:val="00EA3B89"/>
    <w:rsid w:val="00EB3157"/>
    <w:rsid w:val="00EB4455"/>
    <w:rsid w:val="00EB52EE"/>
    <w:rsid w:val="00EE0EA0"/>
    <w:rsid w:val="00EE2C58"/>
    <w:rsid w:val="00EE3C15"/>
    <w:rsid w:val="00EE7A0D"/>
    <w:rsid w:val="00EF2054"/>
    <w:rsid w:val="00EF4A71"/>
    <w:rsid w:val="00F21969"/>
    <w:rsid w:val="00F45C98"/>
    <w:rsid w:val="00F55800"/>
    <w:rsid w:val="00F72BB9"/>
    <w:rsid w:val="00F822C5"/>
    <w:rsid w:val="00FA0F7E"/>
    <w:rsid w:val="00FB2BAE"/>
    <w:rsid w:val="00FB2F82"/>
    <w:rsid w:val="00FE0E9E"/>
    <w:rsid w:val="00FE6658"/>
    <w:rsid w:val="16446232"/>
    <w:rsid w:val="26BB5591"/>
    <w:rsid w:val="35EE4901"/>
    <w:rsid w:val="4E8E15A9"/>
    <w:rsid w:val="50D3331D"/>
    <w:rsid w:val="5E542D66"/>
    <w:rsid w:val="60C2534F"/>
    <w:rsid w:val="60CC31A7"/>
    <w:rsid w:val="6364133C"/>
    <w:rsid w:val="6D1D4E15"/>
    <w:rsid w:val="7388798C"/>
    <w:rsid w:val="74CC111C"/>
    <w:rsid w:val="DFC78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GB"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9"/>
    <w:pPr>
      <w:keepNext/>
      <w:keepLines/>
      <w:widowControl/>
      <w:spacing w:before="400" w:after="240" w:line="264" w:lineRule="auto"/>
      <w:jc w:val="left"/>
      <w:outlineLvl w:val="1"/>
    </w:pPr>
    <w:rPr>
      <w:rFonts w:ascii="Helvetica" w:hAnsi="Helvetica" w:eastAsiaTheme="majorEastAsia" w:cstheme="majorBidi"/>
      <w:b/>
      <w:bCs/>
      <w:color w:val="000000" w:themeColor="text1"/>
      <w:kern w:val="0"/>
      <w:sz w:val="40"/>
      <w:szCs w:val="40"/>
      <w:lang w:val="en-US" w:eastAsia="en-GB"/>
      <w14:textFill>
        <w14:solidFill>
          <w14:schemeClr w14:val="tx1"/>
        </w14:solidFill>
      </w14:textFill>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Body Text"/>
    <w:basedOn w:val="1"/>
    <w:link w:val="17"/>
    <w:qFormat/>
    <w:uiPriority w:val="1"/>
    <w:pPr>
      <w:widowControl/>
      <w:autoSpaceDE w:val="0"/>
      <w:autoSpaceDN w:val="0"/>
      <w:ind w:left="252"/>
      <w:jc w:val="left"/>
    </w:pPr>
    <w:rPr>
      <w:rFonts w:ascii="宋体" w:hAnsi="宋体" w:cs="宋体"/>
      <w:kern w:val="0"/>
      <w:sz w:val="24"/>
      <w:szCs w:val="24"/>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Times New Roman" w:hAnsi="Times New Roman" w:eastAsia="Times New Roman" w:cs="Times New Roman"/>
      <w:kern w:val="0"/>
      <w:sz w:val="24"/>
      <w:szCs w:val="24"/>
    </w:rPr>
  </w:style>
  <w:style w:type="table" w:styleId="9">
    <w:name w:val="Table Grid"/>
    <w:basedOn w:val="8"/>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6"/>
    <w:qFormat/>
    <w:uiPriority w:val="99"/>
    <w:rPr>
      <w:sz w:val="18"/>
      <w:szCs w:val="18"/>
      <w:lang w:val="en-GB"/>
    </w:rPr>
  </w:style>
  <w:style w:type="character" w:customStyle="1" w:styleId="12">
    <w:name w:val="页脚 字符"/>
    <w:basedOn w:val="10"/>
    <w:link w:val="5"/>
    <w:qFormat/>
    <w:uiPriority w:val="99"/>
    <w:rPr>
      <w:sz w:val="18"/>
      <w:szCs w:val="18"/>
      <w:lang w:val="en-GB"/>
    </w:rPr>
  </w:style>
  <w:style w:type="paragraph" w:styleId="13">
    <w:name w:val="List Paragraph"/>
    <w:basedOn w:val="1"/>
    <w:qFormat/>
    <w:uiPriority w:val="99"/>
    <w:pPr>
      <w:spacing w:before="240" w:line="360" w:lineRule="auto"/>
      <w:ind w:firstLine="420" w:firstLineChars="200"/>
      <w:jc w:val="left"/>
    </w:pPr>
    <w:rPr>
      <w:rFonts w:ascii="宋体" w:hAnsi="宋体" w:eastAsia="宋体"/>
      <w:sz w:val="24"/>
      <w:szCs w:val="24"/>
    </w:rPr>
  </w:style>
  <w:style w:type="paragraph" w:customStyle="1" w:styleId="14">
    <w:name w:val="Default"/>
    <w:qFormat/>
    <w:uiPriority w:val="0"/>
    <w:pPr>
      <w:widowControl w:val="0"/>
      <w:autoSpaceDE w:val="0"/>
      <w:autoSpaceDN w:val="0"/>
      <w:adjustRightInd w:val="0"/>
    </w:pPr>
    <w:rPr>
      <w:rFonts w:ascii="宋体" w:hAnsi="宋体" w:cs="宋体" w:eastAsiaTheme="minorEastAsia"/>
      <w:color w:val="000000"/>
      <w:sz w:val="24"/>
      <w:szCs w:val="24"/>
      <w:lang w:val="en-US" w:eastAsia="zh-CN" w:bidi="ar-SA"/>
    </w:rPr>
  </w:style>
  <w:style w:type="character" w:customStyle="1" w:styleId="15">
    <w:name w:val="标题 2 字符"/>
    <w:basedOn w:val="10"/>
    <w:link w:val="3"/>
    <w:qFormat/>
    <w:uiPriority w:val="9"/>
    <w:rPr>
      <w:rFonts w:ascii="Helvetica" w:hAnsi="Helvetica" w:eastAsiaTheme="majorEastAsia" w:cstheme="majorBidi"/>
      <w:b/>
      <w:bCs/>
      <w:color w:val="000000" w:themeColor="text1"/>
      <w:kern w:val="0"/>
      <w:sz w:val="40"/>
      <w:szCs w:val="40"/>
      <w:lang w:eastAsia="en-GB"/>
      <w14:textFill>
        <w14:solidFill>
          <w14:schemeClr w14:val="tx1"/>
        </w14:solidFill>
      </w14:textFill>
    </w:rPr>
  </w:style>
  <w:style w:type="character" w:customStyle="1" w:styleId="16">
    <w:name w:val="标题 1 字符"/>
    <w:basedOn w:val="10"/>
    <w:link w:val="2"/>
    <w:qFormat/>
    <w:uiPriority w:val="9"/>
    <w:rPr>
      <w:b/>
      <w:bCs/>
      <w:kern w:val="44"/>
      <w:sz w:val="44"/>
      <w:szCs w:val="44"/>
      <w:lang w:val="en-GB"/>
    </w:rPr>
  </w:style>
  <w:style w:type="character" w:customStyle="1" w:styleId="17">
    <w:name w:val="正文文本 字符"/>
    <w:basedOn w:val="10"/>
    <w:link w:val="4"/>
    <w:qFormat/>
    <w:uiPriority w:val="1"/>
    <w:rPr>
      <w:rFonts w:ascii="宋体" w:hAnsi="宋体" w:cs="宋体"/>
      <w:kern w:val="0"/>
      <w:sz w:val="24"/>
      <w:szCs w:val="24"/>
      <w:lang w:val="en-GB"/>
    </w:rPr>
  </w:style>
  <w:style w:type="paragraph" w:customStyle="1" w:styleId="18">
    <w:name w:val="Strong Heading"/>
    <w:basedOn w:val="1"/>
    <w:qFormat/>
    <w:uiPriority w:val="0"/>
    <w:pPr>
      <w:widowControl/>
      <w:spacing w:before="120" w:after="120" w:line="264" w:lineRule="auto"/>
      <w:jc w:val="left"/>
    </w:pPr>
    <w:rPr>
      <w:rFonts w:ascii="Helvetica" w:hAnsi="Helvetica" w:eastAsia="Times New Roman" w:cs="Times New Roman"/>
      <w:b/>
      <w:kern w:val="0"/>
      <w:sz w:val="24"/>
      <w:szCs w:val="24"/>
      <w:lang w:val="en-US"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1054</Words>
  <Characters>6014</Characters>
  <Lines>50</Lines>
  <Paragraphs>14</Paragraphs>
  <TotalTime>3</TotalTime>
  <ScaleCrop>false</ScaleCrop>
  <LinksUpToDate>false</LinksUpToDate>
  <CharactersWithSpaces>7054</CharactersWithSpaces>
  <Application>WPS Office_12.1.24709.24709_F1E327BC-269C-435d-A152-05C5408002CA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2025-09-07T13:21:00Z</dcterms:created>
  <dc:creator>ruoheng wei</dc:creator>
  <cp:lastModifiedBy>白大梦。</cp:lastModifiedBy>
  <dcterms:modified xsi:type="dcterms:W3CDTF">2026-03-05T09:54:21Z</dcterms:modified>
  <cp:revision>169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eyJoZGlkIjoiYTBkNjcwN2U3MzgwM2ZhMTIxOTY2ZTYyYThkODA2ZTIiLCJ1c2VySWQiOiI0OTIzMjQxMjMifQ==</vt:lpwstr>
  </property>
  <property fmtid="{D5CDD505-2E9C-101B-9397-08002B2CF9AE}" pid="3" name="KSOProductBuildVer">
    <vt:lpwstr>2052-12.1.24709.24709</vt:lpwstr>
  </property>
  <property fmtid="{D5CDD505-2E9C-101B-9397-08002B2CF9AE}" pid="4" name="ICV">
    <vt:lpwstr>1CFD356F9C894378A84AA674CD388B46_12</vt:lpwstr>
  </property>
</Properties>
</file>