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BD6304">
      <w:pPr>
        <w:keepNext w:val="0"/>
        <w:keepLines w:val="0"/>
        <w:pageBreakBefore w:val="0"/>
        <w:widowControl/>
        <w:kinsoku/>
        <w:wordWrap/>
        <w:overflowPunct/>
        <w:topLinePunct w:val="0"/>
        <w:autoSpaceDE/>
        <w:autoSpaceDN/>
        <w:bidi w:val="0"/>
        <w:adjustRightInd/>
        <w:snapToGrid/>
        <w:spacing w:before="0" w:after="181" w:afterLines="50" w:line="440" w:lineRule="exact"/>
        <w:ind w:left="0" w:firstLine="0"/>
        <w:jc w:val="center"/>
        <w:textAlignment w:val="auto"/>
        <w:rPr>
          <w:rFonts w:hint="eastAsia" w:ascii="仿宋" w:hAnsi="仿宋" w:eastAsia="仿宋" w:cs="仿宋"/>
        </w:rPr>
      </w:pPr>
      <w:r>
        <w:rPr>
          <w:rFonts w:hint="eastAsia" w:ascii="仿宋" w:hAnsi="仿宋" w:eastAsia="仿宋" w:cs="仿宋"/>
          <w:b/>
          <w:sz w:val="36"/>
        </w:rPr>
        <w:t>关于报名参加2027年寒假英国伦敦大学学院</w:t>
      </w:r>
    </w:p>
    <w:p w14:paraId="28BFB6ED">
      <w:pPr>
        <w:keepNext w:val="0"/>
        <w:keepLines w:val="0"/>
        <w:pageBreakBefore w:val="0"/>
        <w:widowControl/>
        <w:kinsoku/>
        <w:wordWrap/>
        <w:overflowPunct/>
        <w:topLinePunct w:val="0"/>
        <w:autoSpaceDE/>
        <w:autoSpaceDN/>
        <w:bidi w:val="0"/>
        <w:adjustRightInd/>
        <w:snapToGrid/>
        <w:spacing w:before="0" w:after="181" w:afterLines="50" w:line="440" w:lineRule="exact"/>
        <w:ind w:left="0" w:firstLine="0"/>
        <w:jc w:val="center"/>
        <w:textAlignment w:val="auto"/>
        <w:rPr>
          <w:rFonts w:hint="eastAsia" w:ascii="仿宋" w:hAnsi="仿宋" w:eastAsia="仿宋" w:cs="仿宋"/>
        </w:rPr>
      </w:pPr>
      <w:r>
        <w:rPr>
          <w:rFonts w:hint="eastAsia" w:ascii="仿宋" w:hAnsi="仿宋" w:eastAsia="仿宋" w:cs="仿宋"/>
          <w:b/>
          <w:sz w:val="36"/>
        </w:rPr>
        <w:t>学术英语与教育主题访学项目的通知</w:t>
      </w:r>
    </w:p>
    <w:p w14:paraId="27C79C6C">
      <w:pPr>
        <w:pStyle w:val="168"/>
        <w:keepNext w:val="0"/>
        <w:keepLines w:val="0"/>
        <w:pageBreakBefore w:val="0"/>
        <w:widowControl/>
        <w:kinsoku/>
        <w:wordWrap/>
        <w:overflowPunct/>
        <w:topLinePunct w:val="0"/>
        <w:autoSpaceDE/>
        <w:autoSpaceDN/>
        <w:bidi w:val="0"/>
        <w:adjustRightInd/>
        <w:snapToGrid/>
        <w:spacing w:after="0" w:line="440" w:lineRule="exact"/>
        <w:ind w:left="0" w:firstLine="480" w:firstLineChars="200"/>
        <w:jc w:val="both"/>
        <w:textAlignment w:val="auto"/>
        <w:rPr>
          <w:rFonts w:hint="eastAsia" w:ascii="仿宋" w:hAnsi="仿宋" w:eastAsia="仿宋" w:cs="仿宋"/>
          <w:b w:val="0"/>
          <w:i w:val="0"/>
          <w:sz w:val="24"/>
        </w:rPr>
      </w:pPr>
      <w:r>
        <w:rPr>
          <w:rFonts w:hint="eastAsia" w:ascii="仿宋" w:hAnsi="仿宋" w:eastAsia="仿宋" w:cs="仿宋"/>
          <w:b w:val="0"/>
          <w:i w:val="0"/>
          <w:sz w:val="24"/>
        </w:rPr>
        <w:t>为拓宽学生国际学术视野，提升学术英语、跨文化沟通与教育创新理解能力，我校现推荐学生参加2027年寒假英国伦敦大学学院（University College London，简称UCL）学术英语与教育主题访学项目。</w:t>
      </w:r>
    </w:p>
    <w:p w14:paraId="3CF20CFC">
      <w:pPr>
        <w:pStyle w:val="168"/>
        <w:keepNext w:val="0"/>
        <w:keepLines w:val="0"/>
        <w:pageBreakBefore w:val="0"/>
        <w:widowControl/>
        <w:kinsoku/>
        <w:wordWrap/>
        <w:overflowPunct/>
        <w:topLinePunct w:val="0"/>
        <w:autoSpaceDE/>
        <w:autoSpaceDN/>
        <w:bidi w:val="0"/>
        <w:adjustRightInd/>
        <w:snapToGrid/>
        <w:spacing w:after="181" w:afterLines="50" w:line="440" w:lineRule="exact"/>
        <w:ind w:left="0" w:firstLine="480" w:firstLineChars="200"/>
        <w:jc w:val="both"/>
        <w:textAlignment w:val="auto"/>
        <w:rPr>
          <w:rFonts w:hint="eastAsia" w:ascii="仿宋" w:hAnsi="仿宋" w:eastAsia="仿宋" w:cs="仿宋"/>
          <w:b w:val="0"/>
          <w:i w:val="0"/>
          <w:sz w:val="24"/>
        </w:rPr>
      </w:pPr>
      <w:r>
        <w:rPr>
          <w:rFonts w:hint="eastAsia" w:ascii="仿宋" w:hAnsi="仿宋" w:eastAsia="仿宋" w:cs="仿宋"/>
          <w:b w:val="0"/>
          <w:i w:val="0"/>
          <w:sz w:val="24"/>
        </w:rPr>
        <w:t>项目设置3周与4周两种方案。前三周以国际学术英语与研究实践为核心，通过小班授课、学术任务、课题研究及成果展示等形式，提升学生在英国大学学习环境中的语言应用、研究与学术表达能力；4周项目在此基础上进一步衔接UCL教育学院（IOE）专业课程，学生可从学前与小学教育或数字教育两个方向中选择其一，实现从通用学术能力训练到专业方向拓展的递进学习。现将有关事项通知如下：</w:t>
      </w:r>
    </w:p>
    <w:p w14:paraId="58148068">
      <w:pPr>
        <w:keepNext/>
        <w:keepLines w:val="0"/>
        <w:pageBreakBefore w:val="0"/>
        <w:widowControl/>
        <w:kinsoku/>
        <w:wordWrap/>
        <w:overflowPunct/>
        <w:topLinePunct w:val="0"/>
        <w:autoSpaceDE/>
        <w:autoSpaceDN/>
        <w:bidi w:val="0"/>
        <w:adjustRightInd/>
        <w:snapToGrid/>
        <w:spacing w:before="361" w:beforeLines="100" w:after="181" w:afterLines="50" w:line="440" w:lineRule="exact"/>
        <w:ind w:left="0" w:firstLine="0"/>
        <w:jc w:val="both"/>
        <w:textAlignment w:val="auto"/>
        <w:rPr>
          <w:rFonts w:hint="eastAsia" w:ascii="仿宋" w:hAnsi="仿宋" w:eastAsia="仿宋" w:cs="仿宋"/>
        </w:rPr>
      </w:pPr>
      <w:r>
        <w:rPr>
          <w:rFonts w:hint="eastAsia" w:ascii="仿宋" w:hAnsi="仿宋" w:eastAsia="仿宋" w:cs="仿宋"/>
          <w:b/>
          <w:sz w:val="28"/>
        </w:rPr>
        <w:t>一、学校及教学单位简介</w:t>
      </w:r>
    </w:p>
    <w:p w14:paraId="21054E00">
      <w:pPr>
        <w:pStyle w:val="168"/>
        <w:keepNext w:val="0"/>
        <w:keepLines w:val="0"/>
        <w:pageBreakBefore w:val="0"/>
        <w:widowControl/>
        <w:kinsoku/>
        <w:wordWrap/>
        <w:overflowPunct/>
        <w:topLinePunct w:val="0"/>
        <w:autoSpaceDE/>
        <w:autoSpaceDN/>
        <w:bidi w:val="0"/>
        <w:adjustRightInd/>
        <w:snapToGrid/>
        <w:spacing w:after="0" w:line="440" w:lineRule="exact"/>
        <w:ind w:left="0" w:firstLine="480" w:firstLineChars="200"/>
        <w:jc w:val="both"/>
        <w:textAlignment w:val="auto"/>
        <w:rPr>
          <w:rFonts w:hint="eastAsia" w:ascii="仿宋" w:hAnsi="仿宋" w:eastAsia="仿宋" w:cs="仿宋"/>
        </w:rPr>
      </w:pPr>
      <w:r>
        <w:rPr>
          <w:rFonts w:hint="eastAsia" w:ascii="仿宋" w:hAnsi="仿宋" w:eastAsia="仿宋" w:cs="仿宋"/>
          <w:b w:val="0"/>
          <w:i w:val="0"/>
          <w:sz w:val="24"/>
        </w:rPr>
        <w:t>伦敦大学学院（University College London，简称UCL）创建于1826年，位于英国伦敦，是英国著名的G5超级精英大学之一，也是全球领先的综合性研究型大学。UCL在202</w:t>
      </w:r>
      <w:r>
        <w:rPr>
          <w:rFonts w:hint="eastAsia" w:ascii="仿宋" w:hAnsi="仿宋" w:eastAsia="仿宋" w:cs="仿宋"/>
          <w:b w:val="0"/>
          <w:i w:val="0"/>
          <w:sz w:val="24"/>
          <w:lang w:val="en-US" w:eastAsia="zh-CN"/>
        </w:rPr>
        <w:t>7</w:t>
      </w:r>
      <w:r>
        <w:rPr>
          <w:rFonts w:hint="eastAsia" w:ascii="仿宋" w:hAnsi="仿宋" w:eastAsia="仿宋" w:cs="仿宋"/>
          <w:b w:val="0"/>
          <w:i w:val="0"/>
          <w:sz w:val="24"/>
        </w:rPr>
        <w:t>年QS世界大学排名中位列全球第</w:t>
      </w:r>
      <w:r>
        <w:rPr>
          <w:rFonts w:hint="eastAsia" w:ascii="仿宋" w:hAnsi="仿宋" w:eastAsia="仿宋" w:cs="仿宋"/>
          <w:b w:val="0"/>
          <w:i w:val="0"/>
          <w:sz w:val="24"/>
          <w:lang w:val="en-US" w:eastAsia="zh-CN"/>
        </w:rPr>
        <w:t>8</w:t>
      </w:r>
      <w:r>
        <w:rPr>
          <w:rFonts w:hint="eastAsia" w:ascii="仿宋" w:hAnsi="仿宋" w:eastAsia="仿宋" w:cs="仿宋"/>
          <w:b w:val="0"/>
          <w:i w:val="0"/>
          <w:sz w:val="24"/>
        </w:rPr>
        <w:t>位，并连续1</w:t>
      </w:r>
      <w:r>
        <w:rPr>
          <w:rFonts w:hint="eastAsia" w:ascii="仿宋" w:hAnsi="仿宋" w:eastAsia="仿宋" w:cs="仿宋"/>
          <w:b w:val="0"/>
          <w:i w:val="0"/>
          <w:sz w:val="24"/>
          <w:lang w:val="en-US" w:eastAsia="zh-CN"/>
        </w:rPr>
        <w:t>5</w:t>
      </w:r>
      <w:r>
        <w:rPr>
          <w:rFonts w:hint="eastAsia" w:ascii="仿宋" w:hAnsi="仿宋" w:eastAsia="仿宋" w:cs="仿宋"/>
          <w:b w:val="0"/>
          <w:i w:val="0"/>
          <w:sz w:val="24"/>
        </w:rPr>
        <w:t>年稳居世界前十。学校拥有高度国际化的学习环境和丰富的学术资源，为学生开展跨学科学习与国际交流提供良好平台。</w:t>
      </w:r>
    </w:p>
    <w:p w14:paraId="16554F1D">
      <w:pPr>
        <w:pStyle w:val="168"/>
        <w:keepNext w:val="0"/>
        <w:keepLines w:val="0"/>
        <w:pageBreakBefore w:val="0"/>
        <w:widowControl/>
        <w:kinsoku/>
        <w:wordWrap/>
        <w:overflowPunct/>
        <w:topLinePunct w:val="0"/>
        <w:autoSpaceDE/>
        <w:autoSpaceDN/>
        <w:bidi w:val="0"/>
        <w:adjustRightInd/>
        <w:snapToGrid/>
        <w:spacing w:after="181" w:afterLines="50" w:line="440" w:lineRule="exact"/>
        <w:ind w:left="0" w:firstLine="480" w:firstLineChars="200"/>
        <w:jc w:val="both"/>
        <w:textAlignment w:val="auto"/>
        <w:rPr>
          <w:rFonts w:hint="eastAsia" w:ascii="仿宋" w:hAnsi="仿宋" w:eastAsia="仿宋" w:cs="仿宋"/>
          <w:b w:val="0"/>
          <w:i w:val="0"/>
          <w:sz w:val="24"/>
        </w:rPr>
      </w:pPr>
      <w:r>
        <w:rPr>
          <w:rFonts w:hint="eastAsia" w:ascii="仿宋" w:hAnsi="仿宋" w:eastAsia="仿宋" w:cs="仿宋"/>
          <w:b w:val="0"/>
          <w:i w:val="0"/>
          <w:sz w:val="24"/>
        </w:rPr>
        <w:t>UCL教育学院（UCL Institute of Education，简称IOE）成立于1902年，是全球教育与社会科学领域具有重要影响力的教学与研究机构。根据项目册信息，IOE在QS世界大学学科排名“教育与培训”领域连续13年位居全球第一。前三周学术英语课程由UCL语言与国际教育中心开展，四周项目第4周衔接IOE专业研讨课程。</w:t>
      </w:r>
    </w:p>
    <w:p w14:paraId="5987F795">
      <w:pPr>
        <w:keepNext/>
        <w:keepLines w:val="0"/>
        <w:pageBreakBefore w:val="0"/>
        <w:widowControl/>
        <w:kinsoku/>
        <w:wordWrap/>
        <w:overflowPunct/>
        <w:topLinePunct w:val="0"/>
        <w:autoSpaceDE/>
        <w:autoSpaceDN/>
        <w:bidi w:val="0"/>
        <w:adjustRightInd/>
        <w:snapToGrid/>
        <w:spacing w:before="361" w:beforeLines="100" w:after="181" w:afterLines="50" w:line="440" w:lineRule="exact"/>
        <w:ind w:left="0" w:firstLine="0"/>
        <w:jc w:val="both"/>
        <w:textAlignment w:val="auto"/>
        <w:rPr>
          <w:rFonts w:hint="eastAsia" w:ascii="仿宋" w:hAnsi="仿宋" w:eastAsia="仿宋" w:cs="仿宋"/>
          <w:b/>
          <w:sz w:val="28"/>
        </w:rPr>
      </w:pPr>
      <w:r>
        <w:rPr>
          <w:rFonts w:hint="eastAsia" w:ascii="仿宋" w:hAnsi="仿宋" w:eastAsia="仿宋" w:cs="仿宋"/>
          <w:b/>
          <w:sz w:val="28"/>
        </w:rPr>
        <w:t>二、项目优势</w:t>
      </w:r>
    </w:p>
    <w:p w14:paraId="2668FCBD">
      <w:pPr>
        <w:pStyle w:val="168"/>
        <w:keepNext w:val="0"/>
        <w:keepLines w:val="0"/>
        <w:pageBreakBefore w:val="0"/>
        <w:widowControl/>
        <w:numPr>
          <w:ilvl w:val="0"/>
          <w:numId w:val="7"/>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仿宋" w:hAnsi="仿宋" w:eastAsia="仿宋" w:cs="仿宋"/>
        </w:rPr>
      </w:pPr>
      <w:r>
        <w:rPr>
          <w:rFonts w:hint="eastAsia" w:ascii="仿宋" w:hAnsi="仿宋" w:eastAsia="仿宋" w:cs="仿宋"/>
          <w:b/>
          <w:sz w:val="24"/>
        </w:rPr>
        <w:t>顶尖学府与优质教育资源：</w:t>
      </w:r>
      <w:r>
        <w:rPr>
          <w:rFonts w:hint="eastAsia" w:ascii="仿宋" w:hAnsi="仿宋" w:eastAsia="仿宋" w:cs="仿宋"/>
          <w:b w:val="0"/>
          <w:sz w:val="24"/>
        </w:rPr>
        <w:t>依托UCL及其教育学院的学术资源开展课程学习，学生可在世界一流大学环境中体验英国高校的学习方式与学术文化。</w:t>
      </w:r>
    </w:p>
    <w:p w14:paraId="4F040A5E">
      <w:pPr>
        <w:pStyle w:val="168"/>
        <w:keepNext w:val="0"/>
        <w:keepLines w:val="0"/>
        <w:pageBreakBefore w:val="0"/>
        <w:widowControl/>
        <w:numPr>
          <w:ilvl w:val="0"/>
          <w:numId w:val="7"/>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仿宋" w:hAnsi="仿宋" w:eastAsia="仿宋" w:cs="仿宋"/>
        </w:rPr>
      </w:pPr>
      <w:r>
        <w:rPr>
          <w:rFonts w:hint="eastAsia" w:ascii="仿宋" w:hAnsi="仿宋" w:eastAsia="仿宋" w:cs="仿宋"/>
          <w:b/>
          <w:sz w:val="24"/>
        </w:rPr>
        <w:t>学术英语与专业学习递进：</w:t>
      </w:r>
      <w:r>
        <w:rPr>
          <w:rFonts w:hint="eastAsia" w:ascii="仿宋" w:hAnsi="仿宋" w:eastAsia="仿宋" w:cs="仿宋"/>
          <w:b w:val="0"/>
          <w:sz w:val="24"/>
        </w:rPr>
        <w:t>3周项目系统提升学术英语和综合语言能力；4周项目在前三周基础上增加教育主题专业研讨，实现“语言能力+专业拓展”的递进式学习。</w:t>
      </w:r>
    </w:p>
    <w:p w14:paraId="18AD797F">
      <w:pPr>
        <w:pStyle w:val="168"/>
        <w:keepNext w:val="0"/>
        <w:keepLines w:val="0"/>
        <w:pageBreakBefore w:val="0"/>
        <w:widowControl/>
        <w:numPr>
          <w:ilvl w:val="0"/>
          <w:numId w:val="7"/>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仿宋" w:hAnsi="仿宋" w:eastAsia="仿宋" w:cs="仿宋"/>
        </w:rPr>
      </w:pPr>
      <w:r>
        <w:rPr>
          <w:rFonts w:hint="eastAsia" w:ascii="仿宋" w:hAnsi="仿宋" w:eastAsia="仿宋" w:cs="仿宋"/>
          <w:b/>
          <w:sz w:val="24"/>
        </w:rPr>
        <w:t>注重真实任务与学习输出：</w:t>
      </w:r>
      <w:r>
        <w:rPr>
          <w:rFonts w:hint="eastAsia" w:ascii="仿宋" w:hAnsi="仿宋" w:eastAsia="仿宋" w:cs="仿宋"/>
          <w:b w:val="0"/>
          <w:sz w:val="24"/>
        </w:rPr>
        <w:t>课程包含问卷与调查设计、学术研究报告撰写、小组交流等实践任务，帮助学生将英语学习与真实学术场景相结合，强化阅读、写作、口语与听力综合应用。</w:t>
      </w:r>
    </w:p>
    <w:p w14:paraId="65D082DB">
      <w:pPr>
        <w:pStyle w:val="168"/>
        <w:keepNext w:val="0"/>
        <w:keepLines w:val="0"/>
        <w:pageBreakBefore w:val="0"/>
        <w:widowControl/>
        <w:numPr>
          <w:ilvl w:val="0"/>
          <w:numId w:val="7"/>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仿宋" w:hAnsi="仿宋" w:eastAsia="仿宋" w:cs="仿宋"/>
          <w:b w:val="0"/>
          <w:sz w:val="24"/>
        </w:rPr>
      </w:pPr>
      <w:r>
        <w:rPr>
          <w:rFonts w:hint="eastAsia" w:ascii="仿宋" w:hAnsi="仿宋" w:eastAsia="仿宋" w:cs="仿宋"/>
          <w:b/>
          <w:sz w:val="24"/>
        </w:rPr>
        <w:t>融入UCL校园与伦敦文化：</w:t>
      </w:r>
      <w:r>
        <w:rPr>
          <w:rFonts w:hint="eastAsia" w:ascii="仿宋" w:hAnsi="仿宋" w:eastAsia="仿宋" w:cs="仿宋"/>
          <w:b w:val="0"/>
          <w:sz w:val="24"/>
        </w:rPr>
        <w:t>学生将注册为UCL访学学生，获得访学学生卡，并根据项目安排使用相应校园资源与学术支持；同时结合UCL校园参访及伦敦City Walk，拓展跨文化体验。</w:t>
      </w:r>
    </w:p>
    <w:p w14:paraId="274192D8">
      <w:pPr>
        <w:keepNext/>
        <w:keepLines w:val="0"/>
        <w:pageBreakBefore w:val="0"/>
        <w:widowControl/>
        <w:kinsoku/>
        <w:wordWrap/>
        <w:overflowPunct/>
        <w:topLinePunct w:val="0"/>
        <w:autoSpaceDE/>
        <w:autoSpaceDN/>
        <w:bidi w:val="0"/>
        <w:adjustRightInd/>
        <w:snapToGrid/>
        <w:spacing w:before="361" w:beforeLines="100" w:after="181" w:afterLines="50" w:line="440" w:lineRule="exact"/>
        <w:ind w:left="0" w:firstLine="0"/>
        <w:jc w:val="both"/>
        <w:textAlignment w:val="auto"/>
        <w:rPr>
          <w:rFonts w:hint="eastAsia" w:ascii="仿宋" w:hAnsi="仿宋" w:eastAsia="仿宋" w:cs="仿宋"/>
          <w:b/>
          <w:sz w:val="28"/>
        </w:rPr>
      </w:pPr>
      <w:r>
        <w:rPr>
          <w:rFonts w:hint="eastAsia" w:ascii="仿宋" w:hAnsi="仿宋" w:eastAsia="仿宋" w:cs="仿宋"/>
          <w:b/>
          <w:sz w:val="28"/>
        </w:rPr>
        <w:t>三、项目内容</w:t>
      </w:r>
    </w:p>
    <w:p w14:paraId="43F58B2E">
      <w:pPr>
        <w:pStyle w:val="168"/>
        <w:keepNext w:val="0"/>
        <w:keepLines w:val="0"/>
        <w:pageBreakBefore w:val="0"/>
        <w:widowControl/>
        <w:numPr>
          <w:ilvl w:val="0"/>
          <w:numId w:val="8"/>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仿宋" w:hAnsi="仿宋" w:eastAsia="仿宋" w:cs="仿宋"/>
          <w:b/>
          <w:bCs/>
          <w:sz w:val="24"/>
        </w:rPr>
      </w:pPr>
      <w:r>
        <w:rPr>
          <w:rFonts w:hint="eastAsia" w:ascii="仿宋" w:hAnsi="仿宋" w:eastAsia="仿宋" w:cs="仿宋"/>
          <w:b/>
          <w:bCs/>
          <w:sz w:val="24"/>
        </w:rPr>
        <w:t>项目主题：</w:t>
      </w:r>
    </w:p>
    <w:p w14:paraId="187B5BA4">
      <w:pPr>
        <w:pStyle w:val="168"/>
        <w:keepNext w:val="0"/>
        <w:keepLines w:val="0"/>
        <w:pageBreakBefore w:val="0"/>
        <w:widowControl/>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rPr>
      </w:pPr>
      <w:r>
        <w:rPr>
          <w:rFonts w:hint="eastAsia" w:ascii="仿宋" w:hAnsi="仿宋" w:eastAsia="仿宋" w:cs="仿宋"/>
          <w:b w:val="0"/>
          <w:sz w:val="24"/>
        </w:rPr>
        <w:t>学术英语 + 学前与小学教育 / 数字教育</w:t>
      </w:r>
    </w:p>
    <w:p w14:paraId="1235F642">
      <w:pPr>
        <w:pStyle w:val="168"/>
        <w:keepNext w:val="0"/>
        <w:keepLines w:val="0"/>
        <w:pageBreakBefore w:val="0"/>
        <w:widowControl/>
        <w:numPr>
          <w:ilvl w:val="0"/>
          <w:numId w:val="8"/>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仿宋" w:hAnsi="仿宋" w:eastAsia="仿宋" w:cs="仿宋"/>
          <w:b/>
          <w:bCs/>
        </w:rPr>
      </w:pPr>
      <w:r>
        <w:rPr>
          <w:rFonts w:hint="eastAsia" w:ascii="仿宋" w:hAnsi="仿宋" w:eastAsia="仿宋" w:cs="仿宋"/>
          <w:b/>
          <w:bCs/>
          <w:sz w:val="24"/>
        </w:rPr>
        <w:t>项目时间：</w:t>
      </w:r>
    </w:p>
    <w:p w14:paraId="2B01FCF0">
      <w:pPr>
        <w:pStyle w:val="168"/>
        <w:keepNext w:val="0"/>
        <w:keepLines w:val="0"/>
        <w:pageBreakBefore w:val="0"/>
        <w:widowControl/>
        <w:numPr>
          <w:ilvl w:val="0"/>
          <w:numId w:val="9"/>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仿宋" w:hAnsi="仿宋" w:eastAsia="仿宋" w:cs="仿宋"/>
        </w:rPr>
      </w:pPr>
      <w:r>
        <w:rPr>
          <w:rFonts w:hint="eastAsia" w:ascii="仿宋" w:hAnsi="仿宋" w:eastAsia="仿宋" w:cs="仿宋"/>
          <w:b w:val="0"/>
          <w:sz w:val="24"/>
          <w:lang w:val="en-US" w:eastAsia="zh-CN"/>
        </w:rPr>
        <w:t>学术英语</w:t>
      </w:r>
      <w:r>
        <w:rPr>
          <w:rFonts w:hint="eastAsia" w:ascii="仿宋" w:hAnsi="仿宋" w:eastAsia="仿宋" w:cs="仿宋"/>
          <w:b w:val="0"/>
          <w:sz w:val="24"/>
        </w:rPr>
        <w:t>项目：2027年1月17日</w:t>
      </w:r>
      <w:r>
        <w:rPr>
          <w:rFonts w:hint="eastAsia" w:ascii="仿宋" w:hAnsi="仿宋" w:eastAsia="仿宋" w:cs="仿宋"/>
          <w:b w:val="0"/>
          <w:sz w:val="24"/>
          <w:lang w:val="en-US" w:eastAsia="zh-CN"/>
        </w:rPr>
        <w:t>-</w:t>
      </w:r>
      <w:r>
        <w:rPr>
          <w:rFonts w:hint="eastAsia" w:ascii="仿宋" w:hAnsi="仿宋" w:eastAsia="仿宋" w:cs="仿宋"/>
          <w:b w:val="0"/>
          <w:sz w:val="24"/>
        </w:rPr>
        <w:t>2月7日</w:t>
      </w:r>
      <w:r>
        <w:rPr>
          <w:rFonts w:hint="eastAsia" w:ascii="仿宋" w:hAnsi="仿宋" w:eastAsia="仿宋" w:cs="仿宋"/>
          <w:b w:val="0"/>
          <w:sz w:val="24"/>
          <w:lang w:eastAsia="zh-CN"/>
        </w:rPr>
        <w:t>（</w:t>
      </w:r>
      <w:r>
        <w:rPr>
          <w:rFonts w:hint="eastAsia" w:ascii="仿宋" w:hAnsi="仿宋" w:eastAsia="仿宋" w:cs="仿宋"/>
          <w:b w:val="0"/>
          <w:sz w:val="24"/>
          <w:lang w:val="en-US" w:eastAsia="zh-CN"/>
        </w:rPr>
        <w:t>三周</w:t>
      </w:r>
      <w:r>
        <w:rPr>
          <w:rFonts w:hint="eastAsia" w:ascii="仿宋" w:hAnsi="仿宋" w:eastAsia="仿宋" w:cs="仿宋"/>
          <w:b w:val="0"/>
          <w:sz w:val="24"/>
          <w:lang w:eastAsia="zh-CN"/>
        </w:rPr>
        <w:t>）</w:t>
      </w:r>
    </w:p>
    <w:p w14:paraId="2CEE1064">
      <w:pPr>
        <w:pStyle w:val="168"/>
        <w:keepNext w:val="0"/>
        <w:keepLines w:val="0"/>
        <w:pageBreakBefore w:val="0"/>
        <w:widowControl/>
        <w:numPr>
          <w:ilvl w:val="0"/>
          <w:numId w:val="9"/>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仿宋" w:hAnsi="仿宋" w:eastAsia="仿宋" w:cs="仿宋"/>
        </w:rPr>
      </w:pPr>
      <w:r>
        <w:rPr>
          <w:rFonts w:hint="eastAsia" w:ascii="仿宋" w:hAnsi="仿宋" w:eastAsia="仿宋" w:cs="仿宋"/>
          <w:b w:val="0"/>
          <w:sz w:val="24"/>
          <w:lang w:val="en-US" w:eastAsia="zh-CN"/>
        </w:rPr>
        <w:t>学术英语与教育主题</w:t>
      </w:r>
      <w:r>
        <w:rPr>
          <w:rFonts w:hint="eastAsia" w:ascii="仿宋" w:hAnsi="仿宋" w:eastAsia="仿宋" w:cs="仿宋"/>
          <w:b w:val="0"/>
          <w:sz w:val="24"/>
        </w:rPr>
        <w:t>项目：2027年1月17日</w:t>
      </w:r>
      <w:r>
        <w:rPr>
          <w:rFonts w:hint="eastAsia" w:ascii="仿宋" w:hAnsi="仿宋" w:eastAsia="仿宋" w:cs="仿宋"/>
          <w:b w:val="0"/>
          <w:sz w:val="24"/>
          <w:lang w:val="en-US" w:eastAsia="zh-CN"/>
        </w:rPr>
        <w:t>-</w:t>
      </w:r>
      <w:r>
        <w:rPr>
          <w:rFonts w:hint="eastAsia" w:ascii="仿宋" w:hAnsi="仿宋" w:eastAsia="仿宋" w:cs="仿宋"/>
          <w:b w:val="0"/>
          <w:sz w:val="24"/>
        </w:rPr>
        <w:t>2月14日</w:t>
      </w:r>
      <w:r>
        <w:rPr>
          <w:rFonts w:hint="eastAsia" w:ascii="仿宋" w:hAnsi="仿宋" w:eastAsia="仿宋" w:cs="仿宋"/>
          <w:b w:val="0"/>
          <w:sz w:val="24"/>
          <w:lang w:eastAsia="zh-CN"/>
        </w:rPr>
        <w:t>（</w:t>
      </w:r>
      <w:r>
        <w:rPr>
          <w:rFonts w:hint="eastAsia" w:ascii="仿宋" w:hAnsi="仿宋" w:eastAsia="仿宋" w:cs="仿宋"/>
          <w:b w:val="0"/>
          <w:sz w:val="24"/>
          <w:lang w:val="en-US" w:eastAsia="zh-CN"/>
        </w:rPr>
        <w:t>四周</w:t>
      </w:r>
      <w:r>
        <w:rPr>
          <w:rFonts w:hint="eastAsia" w:ascii="仿宋" w:hAnsi="仿宋" w:eastAsia="仿宋" w:cs="仿宋"/>
          <w:b w:val="0"/>
          <w:sz w:val="24"/>
          <w:lang w:eastAsia="zh-CN"/>
        </w:rPr>
        <w:t>）</w:t>
      </w:r>
    </w:p>
    <w:p w14:paraId="2356AFDE">
      <w:pPr>
        <w:pStyle w:val="168"/>
        <w:keepNext w:val="0"/>
        <w:keepLines w:val="0"/>
        <w:pageBreakBefore w:val="0"/>
        <w:widowControl/>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val="0"/>
          <w:sz w:val="24"/>
          <w:highlight w:val="yellow"/>
        </w:rPr>
      </w:pPr>
      <w:r>
        <w:rPr>
          <w:rFonts w:hint="eastAsia" w:ascii="仿宋" w:hAnsi="仿宋" w:eastAsia="仿宋" w:cs="仿宋"/>
          <w:b w:val="0"/>
          <w:sz w:val="24"/>
        </w:rPr>
        <w:t>*具体出发、返回时间可能根据航班及最终课程安排进行微调。</w:t>
      </w:r>
    </w:p>
    <w:p w14:paraId="4A934700">
      <w:pPr>
        <w:pStyle w:val="168"/>
        <w:keepNext w:val="0"/>
        <w:keepLines w:val="0"/>
        <w:pageBreakBefore w:val="0"/>
        <w:widowControl/>
        <w:numPr>
          <w:ilvl w:val="0"/>
          <w:numId w:val="8"/>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仿宋" w:hAnsi="仿宋" w:eastAsia="仿宋" w:cs="仿宋"/>
          <w:b/>
          <w:bCs/>
        </w:rPr>
      </w:pPr>
      <w:r>
        <w:rPr>
          <w:rFonts w:hint="eastAsia" w:ascii="仿宋" w:hAnsi="仿宋" w:eastAsia="仿宋" w:cs="仿宋"/>
          <w:b/>
          <w:bCs/>
          <w:sz w:val="24"/>
        </w:rPr>
        <w:t>课程结构：</w:t>
      </w:r>
    </w:p>
    <w:p w14:paraId="574B5BCE">
      <w:pPr>
        <w:pStyle w:val="168"/>
        <w:keepNext w:val="0"/>
        <w:keepLines w:val="0"/>
        <w:pageBreakBefore w:val="0"/>
        <w:widowControl/>
        <w:numPr>
          <w:ilvl w:val="0"/>
          <w:numId w:val="10"/>
        </w:numPr>
        <w:kinsoku/>
        <w:wordWrap/>
        <w:overflowPunct/>
        <w:topLinePunct w:val="0"/>
        <w:autoSpaceDE/>
        <w:autoSpaceDN/>
        <w:bidi w:val="0"/>
        <w:adjustRightInd/>
        <w:snapToGrid/>
        <w:spacing w:after="0" w:line="440" w:lineRule="exact"/>
        <w:ind w:left="0" w:leftChars="0" w:firstLine="0" w:firstLineChars="0"/>
        <w:jc w:val="both"/>
        <w:textAlignment w:val="auto"/>
        <w:rPr>
          <w:rFonts w:hint="eastAsia" w:ascii="仿宋" w:hAnsi="仿宋" w:eastAsia="仿宋" w:cs="仿宋"/>
          <w:b/>
          <w:bCs/>
          <w:sz w:val="24"/>
        </w:rPr>
      </w:pPr>
      <w:r>
        <w:rPr>
          <w:rFonts w:hint="eastAsia" w:ascii="仿宋" w:hAnsi="仿宋" w:eastAsia="仿宋" w:cs="仿宋"/>
          <w:b/>
          <w:bCs/>
          <w:sz w:val="24"/>
        </w:rPr>
        <w:t>前三周：国际学术英语与研究实践</w:t>
      </w:r>
    </w:p>
    <w:p w14:paraId="732001D9">
      <w:pPr>
        <w:pStyle w:val="168"/>
        <w:keepNext w:val="0"/>
        <w:keepLines w:val="0"/>
        <w:pageBreakBefore w:val="0"/>
        <w:widowControl/>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val="0"/>
          <w:sz w:val="24"/>
        </w:rPr>
      </w:pPr>
      <w:r>
        <w:rPr>
          <w:rFonts w:hint="eastAsia" w:ascii="仿宋" w:hAnsi="仿宋" w:eastAsia="仿宋" w:cs="仿宋"/>
          <w:b w:val="0"/>
          <w:sz w:val="24"/>
        </w:rPr>
        <w:t>前三周课程由UCL语言与国际教育中心开展，围绕英国大学学习所需的语言、研究与学术表达能力进行系统训练，并以</w:t>
      </w:r>
      <w:r>
        <w:rPr>
          <w:rFonts w:hint="eastAsia" w:ascii="仿宋" w:hAnsi="仿宋" w:eastAsia="仿宋" w:cs="仿宋"/>
          <w:b w:val="0"/>
          <w:sz w:val="24"/>
          <w:lang w:eastAsia="zh-CN"/>
        </w:rPr>
        <w:t>课题研究项目</w:t>
      </w:r>
      <w:r>
        <w:rPr>
          <w:rFonts w:hint="eastAsia" w:ascii="仿宋" w:hAnsi="仿宋" w:eastAsia="仿宋" w:cs="仿宋"/>
          <w:b w:val="0"/>
          <w:sz w:val="24"/>
        </w:rPr>
        <w:t>贯穿学习过程。</w:t>
      </w:r>
    </w:p>
    <w:p w14:paraId="22CD4855">
      <w:pPr>
        <w:pStyle w:val="168"/>
        <w:keepNext w:val="0"/>
        <w:keepLines w:val="0"/>
        <w:pageBreakBefore w:val="0"/>
        <w:widowControl/>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bCs/>
          <w:sz w:val="24"/>
        </w:rPr>
      </w:pPr>
      <w:r>
        <w:rPr>
          <w:rFonts w:hint="eastAsia" w:ascii="仿宋" w:hAnsi="仿宋" w:eastAsia="仿宋" w:cs="仿宋"/>
          <w:b/>
          <w:bCs/>
          <w:sz w:val="24"/>
        </w:rPr>
        <w:t>模块一：英国大学学术英语与课堂技能</w:t>
      </w:r>
    </w:p>
    <w:p w14:paraId="61EBFA28">
      <w:pPr>
        <w:pStyle w:val="168"/>
        <w:keepNext w:val="0"/>
        <w:keepLines w:val="0"/>
        <w:pageBreakBefore w:val="0"/>
        <w:widowControl/>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val="0"/>
          <w:sz w:val="24"/>
        </w:rPr>
      </w:pPr>
      <w:r>
        <w:rPr>
          <w:rFonts w:hint="eastAsia" w:ascii="仿宋" w:hAnsi="仿宋" w:eastAsia="仿宋" w:cs="仿宋"/>
          <w:b w:val="0"/>
          <w:sz w:val="24"/>
        </w:rPr>
        <w:t>围绕英国高校常见学习场景开展训练，主要包括学术表达规范、大学讲座听力与信息提取、学术笔记、研讨课参与与表达及学术展示与小组汇报，帮助学生学习如何用英语完成英国大学课堂中的实际学习任务。</w:t>
      </w:r>
    </w:p>
    <w:p w14:paraId="03A682E9">
      <w:pPr>
        <w:pStyle w:val="168"/>
        <w:keepNext w:val="0"/>
        <w:keepLines w:val="0"/>
        <w:pageBreakBefore w:val="0"/>
        <w:widowControl/>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bCs/>
          <w:sz w:val="24"/>
        </w:rPr>
      </w:pPr>
      <w:r>
        <w:rPr>
          <w:rFonts w:hint="eastAsia" w:ascii="仿宋" w:hAnsi="仿宋" w:eastAsia="仿宋" w:cs="仿宋"/>
          <w:b/>
          <w:bCs/>
          <w:sz w:val="24"/>
        </w:rPr>
        <w:t>模块二：研究方法与小型研究项目</w:t>
      </w:r>
    </w:p>
    <w:p w14:paraId="1A1ADD51">
      <w:pPr>
        <w:pStyle w:val="168"/>
        <w:keepNext w:val="0"/>
        <w:keepLines w:val="0"/>
        <w:pageBreakBefore w:val="0"/>
        <w:widowControl/>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val="0"/>
          <w:sz w:val="24"/>
        </w:rPr>
      </w:pPr>
      <w:r>
        <w:rPr>
          <w:rFonts w:hint="eastAsia" w:ascii="仿宋" w:hAnsi="仿宋" w:eastAsia="仿宋" w:cs="仿宋"/>
          <w:b w:val="0"/>
          <w:sz w:val="24"/>
        </w:rPr>
        <w:t>课程以</w:t>
      </w:r>
      <w:r>
        <w:rPr>
          <w:rFonts w:hint="eastAsia" w:ascii="仿宋" w:hAnsi="仿宋" w:eastAsia="仿宋" w:cs="仿宋"/>
          <w:b w:val="0"/>
          <w:sz w:val="24"/>
          <w:lang w:eastAsia="zh-CN"/>
        </w:rPr>
        <w:t>课题研究项目</w:t>
      </w:r>
      <w:r>
        <w:rPr>
          <w:rFonts w:hint="eastAsia" w:ascii="仿宋" w:hAnsi="仿宋" w:eastAsia="仿宋" w:cs="仿宋"/>
          <w:b w:val="0"/>
          <w:sz w:val="24"/>
        </w:rPr>
        <w:t>为主线，引导学生依次完成研究问题提出与优化、研究方案分析、调查问卷设计与试测、数据收集与整理、研究结果表达及学术研究报告撰写，在完整任务过程中训练信息收集、问题分析、研究设计、数据表达和学术写作能力。</w:t>
      </w:r>
    </w:p>
    <w:p w14:paraId="206AE481">
      <w:pPr>
        <w:pStyle w:val="168"/>
        <w:keepNext w:val="0"/>
        <w:keepLines w:val="0"/>
        <w:pageBreakBefore w:val="0"/>
        <w:widowControl/>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bCs/>
          <w:sz w:val="24"/>
        </w:rPr>
      </w:pPr>
      <w:r>
        <w:rPr>
          <w:rFonts w:hint="eastAsia" w:ascii="仿宋" w:hAnsi="仿宋" w:eastAsia="仿宋" w:cs="仿宋"/>
          <w:b/>
          <w:bCs/>
          <w:sz w:val="24"/>
        </w:rPr>
        <w:t>模块三：研究成果展示与国际学术表达</w:t>
      </w:r>
    </w:p>
    <w:p w14:paraId="0E5708BD">
      <w:pPr>
        <w:pStyle w:val="168"/>
        <w:keepNext w:val="0"/>
        <w:keepLines w:val="0"/>
        <w:pageBreakBefore w:val="0"/>
        <w:widowControl/>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val="0"/>
          <w:sz w:val="24"/>
        </w:rPr>
      </w:pPr>
      <w:r>
        <w:rPr>
          <w:rFonts w:hint="eastAsia" w:ascii="仿宋" w:hAnsi="仿宋" w:eastAsia="仿宋" w:cs="仿宋"/>
          <w:b w:val="0"/>
          <w:sz w:val="24"/>
        </w:rPr>
        <w:t>在完成研究任务的基础上，学生进一步学习学术展示结构、逻辑衔接及小组汇报技巧，通过模拟展示不断完善表达，最终完成结课汇报及研究报告提交，实现从研究设计、成果整理到公开表达的完整学习过程。</w:t>
      </w:r>
    </w:p>
    <w:p w14:paraId="42CFB5B0">
      <w:pPr>
        <w:pStyle w:val="168"/>
        <w:keepNext w:val="0"/>
        <w:keepLines w:val="0"/>
        <w:pageBreakBefore w:val="0"/>
        <w:widowControl/>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bCs/>
          <w:sz w:val="24"/>
        </w:rPr>
      </w:pPr>
      <w:r>
        <w:rPr>
          <w:rFonts w:hint="eastAsia" w:ascii="仿宋" w:hAnsi="仿宋" w:eastAsia="仿宋" w:cs="仿宋"/>
          <w:b/>
          <w:bCs/>
          <w:sz w:val="24"/>
        </w:rPr>
        <w:t>模块四：UCL大学体验与英国文化</w:t>
      </w:r>
    </w:p>
    <w:p w14:paraId="706A1A79">
      <w:pPr>
        <w:pStyle w:val="168"/>
        <w:keepNext w:val="0"/>
        <w:keepLines w:val="0"/>
        <w:pageBreakBefore w:val="0"/>
        <w:widowControl/>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val="0"/>
          <w:sz w:val="24"/>
        </w:rPr>
      </w:pPr>
      <w:r>
        <w:rPr>
          <w:rFonts w:hint="eastAsia" w:ascii="仿宋" w:hAnsi="仿宋" w:eastAsia="仿宋" w:cs="仿宋"/>
          <w:b w:val="0"/>
          <w:sz w:val="24"/>
        </w:rPr>
        <w:t>课程同步融入UCL</w:t>
      </w:r>
      <w:r>
        <w:rPr>
          <w:rFonts w:hint="eastAsia" w:ascii="仿宋" w:hAnsi="仿宋" w:eastAsia="仿宋" w:cs="仿宋"/>
          <w:b w:val="0"/>
          <w:sz w:val="24"/>
          <w:lang w:val="en-US" w:eastAsia="zh-CN"/>
        </w:rPr>
        <w:t>开班典礼</w:t>
      </w:r>
      <w:r>
        <w:rPr>
          <w:rFonts w:hint="eastAsia" w:ascii="仿宋" w:hAnsi="仿宋" w:eastAsia="仿宋" w:cs="仿宋"/>
          <w:b w:val="0"/>
          <w:sz w:val="24"/>
        </w:rPr>
        <w:t>、校园参访及英国文化学习，内容涉及英国多元文化、交通、饮食、艺术、园林等主题，帮助学生理解英国社会文化背景及高校学习环境。</w:t>
      </w:r>
    </w:p>
    <w:p w14:paraId="20599D85">
      <w:pPr>
        <w:pStyle w:val="168"/>
        <w:keepNext w:val="0"/>
        <w:keepLines w:val="0"/>
        <w:pageBreakBefore w:val="0"/>
        <w:widowControl/>
        <w:numPr>
          <w:ilvl w:val="0"/>
          <w:numId w:val="10"/>
        </w:numPr>
        <w:kinsoku/>
        <w:wordWrap/>
        <w:overflowPunct/>
        <w:topLinePunct w:val="0"/>
        <w:autoSpaceDE/>
        <w:autoSpaceDN/>
        <w:bidi w:val="0"/>
        <w:adjustRightInd/>
        <w:snapToGrid/>
        <w:spacing w:after="0" w:line="440" w:lineRule="exact"/>
        <w:ind w:left="0" w:leftChars="0" w:firstLine="0" w:firstLineChars="0"/>
        <w:jc w:val="both"/>
        <w:textAlignment w:val="auto"/>
        <w:rPr>
          <w:rFonts w:hint="eastAsia" w:ascii="仿宋" w:hAnsi="仿宋" w:eastAsia="仿宋" w:cs="仿宋"/>
          <w:b/>
          <w:bCs/>
          <w:sz w:val="24"/>
        </w:rPr>
      </w:pPr>
      <w:r>
        <w:rPr>
          <w:rFonts w:hint="eastAsia" w:ascii="仿宋" w:hAnsi="仿宋" w:eastAsia="仿宋" w:cs="仿宋"/>
          <w:b/>
          <w:bCs/>
          <w:sz w:val="24"/>
        </w:rPr>
        <w:t>第四周：UCL教育学院专业方向进阶</w:t>
      </w:r>
    </w:p>
    <w:p w14:paraId="6B6C39DA">
      <w:pPr>
        <w:pStyle w:val="168"/>
        <w:keepNext w:val="0"/>
        <w:keepLines w:val="0"/>
        <w:pageBreakBefore w:val="0"/>
        <w:widowControl/>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val="0"/>
          <w:sz w:val="24"/>
        </w:rPr>
      </w:pPr>
      <w:r>
        <w:rPr>
          <w:rFonts w:hint="eastAsia" w:ascii="仿宋" w:hAnsi="仿宋" w:eastAsia="仿宋" w:cs="仿宋"/>
          <w:b w:val="0"/>
          <w:sz w:val="24"/>
        </w:rPr>
        <w:t>完成前三周学术英语、研究方法与学术表达训练后，4周项目学生将进入UCL教育学院开展专业方向学习，将前三周形成的学术学习能力进一步应用于教育领域的专题研讨与实践。</w:t>
      </w:r>
    </w:p>
    <w:p w14:paraId="70325DD6">
      <w:pPr>
        <w:pStyle w:val="168"/>
        <w:keepNext w:val="0"/>
        <w:keepLines w:val="0"/>
        <w:pageBreakBefore w:val="0"/>
        <w:widowControl/>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rPr>
      </w:pPr>
      <w:r>
        <w:rPr>
          <w:rFonts w:hint="eastAsia" w:ascii="仿宋" w:hAnsi="仿宋" w:eastAsia="仿宋" w:cs="仿宋"/>
          <w:b w:val="0"/>
          <w:sz w:val="24"/>
          <w:lang w:eastAsia="zh-CN"/>
        </w:rPr>
        <w:t>【</w:t>
      </w:r>
      <w:r>
        <w:rPr>
          <w:rFonts w:hint="eastAsia" w:ascii="仿宋" w:hAnsi="仿宋" w:eastAsia="仿宋" w:cs="仿宋"/>
          <w:b w:val="0"/>
          <w:sz w:val="24"/>
          <w:lang w:val="en-US" w:eastAsia="zh-CN"/>
        </w:rPr>
        <w:t>主题一</w:t>
      </w:r>
      <w:r>
        <w:rPr>
          <w:rFonts w:hint="eastAsia" w:ascii="仿宋" w:hAnsi="仿宋" w:eastAsia="仿宋" w:cs="仿宋"/>
          <w:b w:val="0"/>
          <w:sz w:val="24"/>
          <w:lang w:eastAsia="zh-CN"/>
        </w:rPr>
        <w:t>】</w:t>
      </w:r>
      <w:r>
        <w:rPr>
          <w:rFonts w:hint="eastAsia" w:ascii="仿宋" w:hAnsi="仿宋" w:eastAsia="仿宋" w:cs="仿宋"/>
          <w:b w:val="0"/>
          <w:sz w:val="24"/>
        </w:rPr>
        <w:t>学前与小学教育：采用讲座、研讨课与实地学习相结合的形式，并根据最终安排开展UCL幼儿托管所访问学习，帮助学生了解英国小学教育体系及相关教育实践。</w:t>
      </w:r>
    </w:p>
    <w:p w14:paraId="6F1FA083">
      <w:pPr>
        <w:pStyle w:val="168"/>
        <w:keepNext w:val="0"/>
        <w:keepLines w:val="0"/>
        <w:pageBreakBefore w:val="0"/>
        <w:widowControl/>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rPr>
      </w:pPr>
      <w:r>
        <w:rPr>
          <w:rFonts w:hint="eastAsia" w:ascii="仿宋" w:hAnsi="仿宋" w:eastAsia="仿宋" w:cs="仿宋"/>
          <w:b w:val="0"/>
          <w:sz w:val="24"/>
          <w:lang w:eastAsia="zh-CN"/>
        </w:rPr>
        <w:t>【</w:t>
      </w:r>
      <w:r>
        <w:rPr>
          <w:rFonts w:hint="eastAsia" w:ascii="仿宋" w:hAnsi="仿宋" w:eastAsia="仿宋" w:cs="仿宋"/>
          <w:b w:val="0"/>
          <w:sz w:val="24"/>
          <w:lang w:val="en-US" w:eastAsia="zh-CN"/>
        </w:rPr>
        <w:t>主题二</w:t>
      </w:r>
      <w:r>
        <w:rPr>
          <w:rFonts w:hint="eastAsia" w:ascii="仿宋" w:hAnsi="仿宋" w:eastAsia="仿宋" w:cs="仿宋"/>
          <w:b w:val="0"/>
          <w:sz w:val="24"/>
          <w:lang w:eastAsia="zh-CN"/>
        </w:rPr>
        <w:t>】</w:t>
      </w:r>
      <w:r>
        <w:rPr>
          <w:rFonts w:hint="eastAsia" w:ascii="仿宋" w:hAnsi="仿宋" w:eastAsia="仿宋" w:cs="仿宋"/>
          <w:b w:val="0"/>
          <w:sz w:val="24"/>
        </w:rPr>
        <w:t>数字教育：围绕人工智能在教育领域的应用与变革展开，内容包括AI基础原理、智慧校园与混合教学、教育伦理与数字安全、AI赋能STEM教学，以及AI时代教师角色与教育治理等主题。</w:t>
      </w:r>
    </w:p>
    <w:p w14:paraId="375965DF">
      <w:pPr>
        <w:pStyle w:val="168"/>
        <w:keepNext w:val="0"/>
        <w:keepLines w:val="0"/>
        <w:pageBreakBefore w:val="0"/>
        <w:widowControl/>
        <w:numPr>
          <w:ilvl w:val="0"/>
          <w:numId w:val="11"/>
        </w:numPr>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bCs/>
          <w:sz w:val="24"/>
        </w:rPr>
      </w:pPr>
      <w:r>
        <w:rPr>
          <w:rFonts w:hint="eastAsia" w:ascii="仿宋" w:hAnsi="仿宋" w:eastAsia="仿宋" w:cs="仿宋"/>
          <w:b/>
          <w:bCs/>
          <w:sz w:val="24"/>
        </w:rPr>
        <w:t>英国文化交流</w:t>
      </w:r>
    </w:p>
    <w:p w14:paraId="741111CD">
      <w:pPr>
        <w:pStyle w:val="168"/>
        <w:keepNext w:val="0"/>
        <w:keepLines w:val="0"/>
        <w:pageBreakBefore w:val="0"/>
        <w:widowControl/>
        <w:numPr>
          <w:ilvl w:val="0"/>
          <w:numId w:val="0"/>
        </w:numPr>
        <w:kinsoku/>
        <w:wordWrap/>
        <w:overflowPunct/>
        <w:topLinePunct w:val="0"/>
        <w:autoSpaceDE/>
        <w:autoSpaceDN/>
        <w:bidi w:val="0"/>
        <w:adjustRightInd/>
        <w:snapToGrid/>
        <w:spacing w:after="0" w:line="440" w:lineRule="exact"/>
        <w:ind w:left="0" w:leftChars="0" w:firstLine="0"/>
        <w:jc w:val="both"/>
        <w:textAlignment w:val="auto"/>
        <w:rPr>
          <w:rFonts w:hint="eastAsia" w:ascii="仿宋" w:hAnsi="仿宋" w:eastAsia="仿宋" w:cs="仿宋"/>
        </w:rPr>
      </w:pPr>
      <w:r>
        <w:rPr>
          <w:rFonts w:hint="eastAsia" w:ascii="仿宋" w:hAnsi="仿宋" w:eastAsia="仿宋" w:cs="仿宋"/>
          <w:b w:val="0"/>
          <w:sz w:val="24"/>
        </w:rPr>
        <w:t>项目期间根据安排开展伦敦City Walk文化交流活动，在金融城、泰晤士河沿岸、艺术街区及多元文化市集等真实场景中感受伦敦历史、城市文化与国际化氛围。</w:t>
      </w:r>
    </w:p>
    <w:p w14:paraId="16349E43">
      <w:pPr>
        <w:pStyle w:val="168"/>
        <w:keepNext w:val="0"/>
        <w:keepLines w:val="0"/>
        <w:pageBreakBefore w:val="0"/>
        <w:widowControl/>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rPr>
      </w:pPr>
      <w:r>
        <w:rPr>
          <w:rFonts w:hint="eastAsia" w:ascii="仿宋" w:hAnsi="仿宋" w:eastAsia="仿宋" w:cs="仿宋"/>
          <w:b w:val="0"/>
          <w:sz w:val="24"/>
        </w:rPr>
        <w:t>*以上课程与活动内容可能根据实际教学资源及最终课表进行适当调整。</w:t>
      </w:r>
    </w:p>
    <w:p w14:paraId="3D616189">
      <w:pPr>
        <w:pStyle w:val="168"/>
        <w:keepNext w:val="0"/>
        <w:keepLines w:val="0"/>
        <w:pageBreakBefore w:val="0"/>
        <w:widowControl/>
        <w:numPr>
          <w:ilvl w:val="0"/>
          <w:numId w:val="8"/>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仿宋" w:hAnsi="仿宋" w:eastAsia="仿宋" w:cs="仿宋"/>
          <w:b/>
          <w:bCs/>
        </w:rPr>
      </w:pPr>
      <w:r>
        <w:rPr>
          <w:rFonts w:hint="eastAsia" w:ascii="仿宋" w:hAnsi="仿宋" w:eastAsia="仿宋" w:cs="仿宋"/>
          <w:b/>
          <w:bCs/>
          <w:sz w:val="24"/>
        </w:rPr>
        <w:t>项目核心对比：</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3665"/>
        <w:gridCol w:w="3591"/>
      </w:tblGrid>
      <w:tr w14:paraId="4183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249" w:type="dxa"/>
            <w:shd w:val="clear" w:color="auto" w:fill="E8DDF2"/>
            <w:tcMar>
              <w:top w:w="80" w:type="dxa"/>
              <w:left w:w="90" w:type="dxa"/>
              <w:bottom w:w="80" w:type="dxa"/>
              <w:right w:w="90" w:type="dxa"/>
            </w:tcMar>
            <w:vAlign w:val="center"/>
          </w:tcPr>
          <w:p w14:paraId="40D556BE">
            <w:pPr>
              <w:keepNext w:val="0"/>
              <w:keepLines w:val="0"/>
              <w:pageBreakBefore w:val="0"/>
              <w:widowControl/>
              <w:kinsoku/>
              <w:wordWrap/>
              <w:overflowPunct/>
              <w:topLinePunct w:val="0"/>
              <w:autoSpaceDE/>
              <w:autoSpaceDN/>
              <w:bidi w:val="0"/>
              <w:adjustRightInd/>
              <w:snapToGrid/>
              <w:spacing w:before="0" w:after="0" w:line="240" w:lineRule="auto"/>
              <w:ind w:left="0" w:firstLine="0"/>
              <w:jc w:val="center"/>
              <w:textAlignment w:val="auto"/>
              <w:rPr>
                <w:rFonts w:hint="eastAsia" w:ascii="仿宋" w:hAnsi="仿宋" w:eastAsia="仿宋" w:cs="仿宋"/>
              </w:rPr>
            </w:pPr>
            <w:r>
              <w:rPr>
                <w:rFonts w:hint="eastAsia" w:ascii="仿宋" w:hAnsi="仿宋" w:eastAsia="仿宋" w:cs="仿宋"/>
                <w:b/>
                <w:sz w:val="20"/>
              </w:rPr>
              <w:t>对比维度</w:t>
            </w:r>
          </w:p>
        </w:tc>
        <w:tc>
          <w:tcPr>
            <w:tcW w:w="3665" w:type="dxa"/>
            <w:shd w:val="clear" w:color="auto" w:fill="E8DDF2"/>
            <w:tcMar>
              <w:top w:w="80" w:type="dxa"/>
              <w:left w:w="90" w:type="dxa"/>
              <w:bottom w:w="80" w:type="dxa"/>
              <w:right w:w="90" w:type="dxa"/>
            </w:tcMar>
            <w:vAlign w:val="center"/>
          </w:tcPr>
          <w:p w14:paraId="3A22D0B2">
            <w:pPr>
              <w:keepNext w:val="0"/>
              <w:keepLines w:val="0"/>
              <w:pageBreakBefore w:val="0"/>
              <w:widowControl/>
              <w:kinsoku/>
              <w:wordWrap/>
              <w:overflowPunct/>
              <w:topLinePunct w:val="0"/>
              <w:autoSpaceDE/>
              <w:autoSpaceDN/>
              <w:bidi w:val="0"/>
              <w:adjustRightInd/>
              <w:snapToGrid/>
              <w:spacing w:before="0" w:after="0" w:line="240" w:lineRule="auto"/>
              <w:ind w:left="0" w:firstLine="0"/>
              <w:jc w:val="center"/>
              <w:textAlignment w:val="auto"/>
              <w:rPr>
                <w:rFonts w:hint="eastAsia" w:ascii="仿宋" w:hAnsi="仿宋" w:eastAsia="仿宋" w:cs="仿宋"/>
              </w:rPr>
            </w:pPr>
            <w:r>
              <w:rPr>
                <w:rFonts w:hint="eastAsia" w:ascii="仿宋" w:hAnsi="仿宋" w:eastAsia="仿宋" w:cs="仿宋"/>
                <w:b/>
                <w:sz w:val="20"/>
              </w:rPr>
              <w:t>3周项目</w:t>
            </w:r>
          </w:p>
        </w:tc>
        <w:tc>
          <w:tcPr>
            <w:tcW w:w="3591" w:type="dxa"/>
            <w:shd w:val="clear" w:color="auto" w:fill="E8DDF2"/>
            <w:tcMar>
              <w:top w:w="80" w:type="dxa"/>
              <w:left w:w="90" w:type="dxa"/>
              <w:bottom w:w="80" w:type="dxa"/>
              <w:right w:w="90" w:type="dxa"/>
            </w:tcMar>
            <w:vAlign w:val="center"/>
          </w:tcPr>
          <w:p w14:paraId="6A5B1042">
            <w:pPr>
              <w:keepNext w:val="0"/>
              <w:keepLines w:val="0"/>
              <w:pageBreakBefore w:val="0"/>
              <w:widowControl/>
              <w:kinsoku/>
              <w:wordWrap/>
              <w:overflowPunct/>
              <w:topLinePunct w:val="0"/>
              <w:autoSpaceDE/>
              <w:autoSpaceDN/>
              <w:bidi w:val="0"/>
              <w:adjustRightInd/>
              <w:snapToGrid/>
              <w:spacing w:before="0" w:after="0" w:line="240" w:lineRule="auto"/>
              <w:ind w:left="0" w:firstLine="0"/>
              <w:jc w:val="center"/>
              <w:textAlignment w:val="auto"/>
              <w:rPr>
                <w:rFonts w:hint="eastAsia" w:ascii="仿宋" w:hAnsi="仿宋" w:eastAsia="仿宋" w:cs="仿宋"/>
              </w:rPr>
            </w:pPr>
            <w:r>
              <w:rPr>
                <w:rFonts w:hint="eastAsia" w:ascii="仿宋" w:hAnsi="仿宋" w:eastAsia="仿宋" w:cs="仿宋"/>
                <w:b/>
                <w:sz w:val="20"/>
              </w:rPr>
              <w:t>4周项目</w:t>
            </w:r>
          </w:p>
        </w:tc>
      </w:tr>
      <w:tr w14:paraId="68DA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shd w:val="clear" w:color="auto" w:fill="F2F2F2"/>
            <w:tcMar>
              <w:top w:w="80" w:type="dxa"/>
              <w:left w:w="90" w:type="dxa"/>
              <w:bottom w:w="80" w:type="dxa"/>
              <w:right w:w="90" w:type="dxa"/>
            </w:tcMar>
            <w:vAlign w:val="center"/>
          </w:tcPr>
          <w:p w14:paraId="022A0365">
            <w:pPr>
              <w:keepNext w:val="0"/>
              <w:keepLines w:val="0"/>
              <w:pageBreakBefore w:val="0"/>
              <w:widowControl/>
              <w:kinsoku/>
              <w:wordWrap/>
              <w:overflowPunct/>
              <w:topLinePunct w:val="0"/>
              <w:autoSpaceDE/>
              <w:autoSpaceDN/>
              <w:bidi w:val="0"/>
              <w:adjustRightInd/>
              <w:snapToGrid/>
              <w:spacing w:before="0" w:after="0" w:line="240" w:lineRule="auto"/>
              <w:ind w:left="0" w:firstLine="0"/>
              <w:jc w:val="center"/>
              <w:textAlignment w:val="auto"/>
              <w:rPr>
                <w:rFonts w:hint="eastAsia" w:ascii="仿宋" w:hAnsi="仿宋" w:eastAsia="仿宋" w:cs="仿宋"/>
              </w:rPr>
            </w:pPr>
            <w:r>
              <w:rPr>
                <w:rFonts w:hint="eastAsia" w:ascii="仿宋" w:hAnsi="仿宋" w:eastAsia="仿宋" w:cs="仿宋"/>
                <w:b w:val="0"/>
                <w:sz w:val="20"/>
              </w:rPr>
              <w:t>项目时间</w:t>
            </w:r>
          </w:p>
        </w:tc>
        <w:tc>
          <w:tcPr>
            <w:tcW w:w="3665" w:type="dxa"/>
            <w:tcMar>
              <w:top w:w="80" w:type="dxa"/>
              <w:left w:w="90" w:type="dxa"/>
              <w:bottom w:w="80" w:type="dxa"/>
              <w:right w:w="90" w:type="dxa"/>
            </w:tcMar>
            <w:vAlign w:val="center"/>
          </w:tcPr>
          <w:p w14:paraId="06D26B8B">
            <w:pPr>
              <w:keepNext w:val="0"/>
              <w:keepLines w:val="0"/>
              <w:pageBreakBefore w:val="0"/>
              <w:widowControl/>
              <w:kinsoku/>
              <w:wordWrap/>
              <w:overflowPunct/>
              <w:topLinePunct w:val="0"/>
              <w:autoSpaceDE/>
              <w:autoSpaceDN/>
              <w:bidi w:val="0"/>
              <w:adjustRightInd/>
              <w:snapToGrid/>
              <w:spacing w:before="0" w:after="0" w:line="240" w:lineRule="auto"/>
              <w:ind w:left="0" w:firstLine="0"/>
              <w:jc w:val="both"/>
              <w:textAlignment w:val="auto"/>
              <w:rPr>
                <w:rFonts w:hint="eastAsia" w:ascii="仿宋" w:hAnsi="仿宋" w:eastAsia="仿宋" w:cs="仿宋"/>
                <w:lang w:val="en-US" w:eastAsia="zh-CN"/>
              </w:rPr>
            </w:pPr>
            <w:r>
              <w:rPr>
                <w:rFonts w:hint="eastAsia" w:ascii="仿宋" w:hAnsi="仿宋" w:eastAsia="仿宋" w:cs="仿宋"/>
                <w:b w:val="0"/>
                <w:sz w:val="20"/>
              </w:rPr>
              <w:t>2027</w:t>
            </w:r>
            <w:r>
              <w:rPr>
                <w:rFonts w:hint="eastAsia" w:ascii="仿宋" w:hAnsi="仿宋" w:eastAsia="仿宋" w:cs="仿宋"/>
                <w:b w:val="0"/>
                <w:sz w:val="20"/>
                <w:lang w:val="en-US" w:eastAsia="zh-CN"/>
              </w:rPr>
              <w:t>年</w:t>
            </w:r>
            <w:r>
              <w:rPr>
                <w:rFonts w:hint="eastAsia" w:ascii="仿宋" w:hAnsi="仿宋" w:eastAsia="仿宋" w:cs="仿宋"/>
                <w:b w:val="0"/>
                <w:sz w:val="20"/>
              </w:rPr>
              <w:t>1</w:t>
            </w:r>
            <w:r>
              <w:rPr>
                <w:rFonts w:hint="eastAsia" w:ascii="仿宋" w:hAnsi="仿宋" w:eastAsia="仿宋" w:cs="仿宋"/>
                <w:b w:val="0"/>
                <w:sz w:val="20"/>
                <w:lang w:val="en-US" w:eastAsia="zh-CN"/>
              </w:rPr>
              <w:t>月</w:t>
            </w:r>
            <w:r>
              <w:rPr>
                <w:rFonts w:hint="eastAsia" w:ascii="仿宋" w:hAnsi="仿宋" w:eastAsia="仿宋" w:cs="仿宋"/>
                <w:b w:val="0"/>
                <w:sz w:val="20"/>
              </w:rPr>
              <w:t>17</w:t>
            </w:r>
            <w:r>
              <w:rPr>
                <w:rFonts w:hint="eastAsia" w:ascii="仿宋" w:hAnsi="仿宋" w:eastAsia="仿宋" w:cs="仿宋"/>
                <w:b w:val="0"/>
                <w:sz w:val="20"/>
                <w:lang w:val="en-US" w:eastAsia="zh-CN"/>
              </w:rPr>
              <w:t>日</w:t>
            </w:r>
            <w:r>
              <w:rPr>
                <w:rFonts w:hint="eastAsia" w:ascii="仿宋" w:hAnsi="仿宋" w:eastAsia="仿宋" w:cs="仿宋"/>
                <w:b w:val="0"/>
                <w:sz w:val="20"/>
              </w:rPr>
              <w:t>-2</w:t>
            </w:r>
            <w:r>
              <w:rPr>
                <w:rFonts w:hint="eastAsia" w:ascii="仿宋" w:hAnsi="仿宋" w:eastAsia="仿宋" w:cs="仿宋"/>
                <w:b w:val="0"/>
                <w:sz w:val="20"/>
                <w:lang w:val="en-US" w:eastAsia="zh-CN"/>
              </w:rPr>
              <w:t>月</w:t>
            </w:r>
            <w:r>
              <w:rPr>
                <w:rFonts w:hint="eastAsia" w:ascii="仿宋" w:hAnsi="仿宋" w:eastAsia="仿宋" w:cs="仿宋"/>
                <w:b w:val="0"/>
                <w:sz w:val="20"/>
              </w:rPr>
              <w:t>7</w:t>
            </w:r>
            <w:r>
              <w:rPr>
                <w:rFonts w:hint="eastAsia" w:ascii="仿宋" w:hAnsi="仿宋" w:eastAsia="仿宋" w:cs="仿宋"/>
                <w:b w:val="0"/>
                <w:sz w:val="20"/>
                <w:lang w:val="en-US" w:eastAsia="zh-CN"/>
              </w:rPr>
              <w:t>日</w:t>
            </w:r>
          </w:p>
        </w:tc>
        <w:tc>
          <w:tcPr>
            <w:tcW w:w="3591" w:type="dxa"/>
            <w:tcMar>
              <w:top w:w="80" w:type="dxa"/>
              <w:left w:w="90" w:type="dxa"/>
              <w:bottom w:w="80" w:type="dxa"/>
              <w:right w:w="90" w:type="dxa"/>
            </w:tcMar>
            <w:vAlign w:val="center"/>
          </w:tcPr>
          <w:p w14:paraId="6F3895B1">
            <w:pPr>
              <w:keepNext w:val="0"/>
              <w:keepLines w:val="0"/>
              <w:pageBreakBefore w:val="0"/>
              <w:widowControl/>
              <w:kinsoku/>
              <w:wordWrap/>
              <w:overflowPunct/>
              <w:topLinePunct w:val="0"/>
              <w:autoSpaceDE/>
              <w:autoSpaceDN/>
              <w:bidi w:val="0"/>
              <w:adjustRightInd/>
              <w:snapToGrid/>
              <w:spacing w:before="0" w:after="0" w:line="240" w:lineRule="auto"/>
              <w:ind w:left="0" w:firstLine="0"/>
              <w:jc w:val="both"/>
              <w:textAlignment w:val="auto"/>
              <w:rPr>
                <w:rFonts w:hint="eastAsia" w:ascii="仿宋" w:hAnsi="仿宋" w:eastAsia="仿宋" w:cs="仿宋"/>
                <w:lang w:val="en-US" w:eastAsia="zh-CN"/>
              </w:rPr>
            </w:pPr>
            <w:r>
              <w:rPr>
                <w:rFonts w:hint="eastAsia" w:ascii="仿宋" w:hAnsi="仿宋" w:eastAsia="仿宋" w:cs="仿宋"/>
                <w:b w:val="0"/>
                <w:sz w:val="20"/>
              </w:rPr>
              <w:t>2027</w:t>
            </w:r>
            <w:r>
              <w:rPr>
                <w:rFonts w:hint="eastAsia" w:ascii="仿宋" w:hAnsi="仿宋" w:eastAsia="仿宋" w:cs="仿宋"/>
                <w:b w:val="0"/>
                <w:sz w:val="20"/>
                <w:lang w:val="en-US" w:eastAsia="zh-CN"/>
              </w:rPr>
              <w:t>年</w:t>
            </w:r>
            <w:r>
              <w:rPr>
                <w:rFonts w:hint="eastAsia" w:ascii="仿宋" w:hAnsi="仿宋" w:eastAsia="仿宋" w:cs="仿宋"/>
                <w:b w:val="0"/>
                <w:sz w:val="20"/>
              </w:rPr>
              <w:t>1</w:t>
            </w:r>
            <w:r>
              <w:rPr>
                <w:rFonts w:hint="eastAsia" w:ascii="仿宋" w:hAnsi="仿宋" w:eastAsia="仿宋" w:cs="仿宋"/>
                <w:b w:val="0"/>
                <w:sz w:val="20"/>
                <w:lang w:val="en-US" w:eastAsia="zh-CN"/>
              </w:rPr>
              <w:t>月</w:t>
            </w:r>
            <w:r>
              <w:rPr>
                <w:rFonts w:hint="eastAsia" w:ascii="仿宋" w:hAnsi="仿宋" w:eastAsia="仿宋" w:cs="仿宋"/>
                <w:b w:val="0"/>
                <w:sz w:val="20"/>
              </w:rPr>
              <w:t>17</w:t>
            </w:r>
            <w:r>
              <w:rPr>
                <w:rFonts w:hint="eastAsia" w:ascii="仿宋" w:hAnsi="仿宋" w:eastAsia="仿宋" w:cs="仿宋"/>
                <w:b w:val="0"/>
                <w:sz w:val="20"/>
                <w:lang w:val="en-US" w:eastAsia="zh-CN"/>
              </w:rPr>
              <w:t>日</w:t>
            </w:r>
            <w:r>
              <w:rPr>
                <w:rFonts w:hint="eastAsia" w:ascii="仿宋" w:hAnsi="仿宋" w:eastAsia="仿宋" w:cs="仿宋"/>
                <w:b w:val="0"/>
                <w:sz w:val="20"/>
              </w:rPr>
              <w:t>-2</w:t>
            </w:r>
            <w:r>
              <w:rPr>
                <w:rFonts w:hint="eastAsia" w:ascii="仿宋" w:hAnsi="仿宋" w:eastAsia="仿宋" w:cs="仿宋"/>
                <w:b w:val="0"/>
                <w:sz w:val="20"/>
                <w:lang w:val="en-US" w:eastAsia="zh-CN"/>
              </w:rPr>
              <w:t>月</w:t>
            </w:r>
            <w:r>
              <w:rPr>
                <w:rFonts w:hint="eastAsia" w:ascii="仿宋" w:hAnsi="仿宋" w:eastAsia="仿宋" w:cs="仿宋"/>
                <w:b w:val="0"/>
                <w:sz w:val="20"/>
              </w:rPr>
              <w:t>14</w:t>
            </w:r>
            <w:r>
              <w:rPr>
                <w:rFonts w:hint="eastAsia" w:ascii="仿宋" w:hAnsi="仿宋" w:eastAsia="仿宋" w:cs="仿宋"/>
                <w:b w:val="0"/>
                <w:sz w:val="20"/>
                <w:lang w:val="en-US" w:eastAsia="zh-CN"/>
              </w:rPr>
              <w:t>日</w:t>
            </w:r>
          </w:p>
        </w:tc>
      </w:tr>
      <w:tr w14:paraId="41B16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shd w:val="clear" w:color="auto" w:fill="F2F2F2"/>
            <w:tcMar>
              <w:top w:w="80" w:type="dxa"/>
              <w:left w:w="90" w:type="dxa"/>
              <w:bottom w:w="80" w:type="dxa"/>
              <w:right w:w="90" w:type="dxa"/>
            </w:tcMar>
            <w:vAlign w:val="center"/>
          </w:tcPr>
          <w:p w14:paraId="2B4251CE">
            <w:pPr>
              <w:keepNext w:val="0"/>
              <w:keepLines w:val="0"/>
              <w:pageBreakBefore w:val="0"/>
              <w:widowControl/>
              <w:kinsoku/>
              <w:wordWrap/>
              <w:overflowPunct/>
              <w:topLinePunct w:val="0"/>
              <w:autoSpaceDE/>
              <w:autoSpaceDN/>
              <w:bidi w:val="0"/>
              <w:adjustRightInd/>
              <w:snapToGrid/>
              <w:spacing w:before="0" w:after="0" w:line="240" w:lineRule="auto"/>
              <w:ind w:left="0" w:firstLine="0"/>
              <w:jc w:val="center"/>
              <w:textAlignment w:val="auto"/>
              <w:rPr>
                <w:rFonts w:hint="eastAsia" w:ascii="仿宋" w:hAnsi="仿宋" w:eastAsia="仿宋" w:cs="仿宋"/>
              </w:rPr>
            </w:pPr>
            <w:r>
              <w:rPr>
                <w:rFonts w:hint="eastAsia" w:ascii="仿宋" w:hAnsi="仿宋" w:eastAsia="仿宋" w:cs="仿宋"/>
                <w:b w:val="0"/>
                <w:sz w:val="20"/>
              </w:rPr>
              <w:t>课程结构</w:t>
            </w:r>
          </w:p>
        </w:tc>
        <w:tc>
          <w:tcPr>
            <w:tcW w:w="3665" w:type="dxa"/>
            <w:tcMar>
              <w:top w:w="80" w:type="dxa"/>
              <w:left w:w="90" w:type="dxa"/>
              <w:bottom w:w="80" w:type="dxa"/>
              <w:right w:w="90" w:type="dxa"/>
            </w:tcMar>
            <w:vAlign w:val="center"/>
          </w:tcPr>
          <w:p w14:paraId="49FE8FEF">
            <w:pPr>
              <w:keepNext w:val="0"/>
              <w:keepLines w:val="0"/>
              <w:pageBreakBefore w:val="0"/>
              <w:widowControl/>
              <w:kinsoku/>
              <w:wordWrap/>
              <w:overflowPunct/>
              <w:topLinePunct w:val="0"/>
              <w:autoSpaceDE/>
              <w:autoSpaceDN/>
              <w:bidi w:val="0"/>
              <w:adjustRightInd/>
              <w:snapToGrid/>
              <w:spacing w:before="0" w:after="0" w:line="240" w:lineRule="auto"/>
              <w:ind w:left="0" w:firstLine="0"/>
              <w:jc w:val="both"/>
              <w:textAlignment w:val="auto"/>
              <w:rPr>
                <w:rFonts w:hint="eastAsia" w:ascii="仿宋" w:hAnsi="仿宋" w:eastAsia="仿宋" w:cs="仿宋"/>
              </w:rPr>
            </w:pPr>
            <w:r>
              <w:rPr>
                <w:rFonts w:hint="eastAsia" w:ascii="仿宋" w:hAnsi="仿宋" w:eastAsia="仿宋" w:cs="仿宋"/>
                <w:b w:val="0"/>
                <w:sz w:val="20"/>
              </w:rPr>
              <w:t>3周学术英语（EAP）+ UCL学术文化与校园体验</w:t>
            </w:r>
          </w:p>
        </w:tc>
        <w:tc>
          <w:tcPr>
            <w:tcW w:w="3591" w:type="dxa"/>
            <w:tcMar>
              <w:top w:w="80" w:type="dxa"/>
              <w:left w:w="90" w:type="dxa"/>
              <w:bottom w:w="80" w:type="dxa"/>
              <w:right w:w="90" w:type="dxa"/>
            </w:tcMar>
            <w:vAlign w:val="center"/>
          </w:tcPr>
          <w:p w14:paraId="67A6A23A">
            <w:pPr>
              <w:keepNext w:val="0"/>
              <w:keepLines w:val="0"/>
              <w:pageBreakBefore w:val="0"/>
              <w:widowControl/>
              <w:kinsoku/>
              <w:wordWrap/>
              <w:overflowPunct/>
              <w:topLinePunct w:val="0"/>
              <w:autoSpaceDE/>
              <w:autoSpaceDN/>
              <w:bidi w:val="0"/>
              <w:adjustRightInd/>
              <w:snapToGrid/>
              <w:spacing w:before="0" w:after="0" w:line="240" w:lineRule="auto"/>
              <w:ind w:left="0" w:firstLine="0"/>
              <w:jc w:val="both"/>
              <w:textAlignment w:val="auto"/>
              <w:rPr>
                <w:rFonts w:hint="eastAsia" w:ascii="仿宋" w:hAnsi="仿宋" w:eastAsia="仿宋" w:cs="仿宋"/>
                <w:lang w:val="en-US" w:eastAsia="zh-CN"/>
              </w:rPr>
            </w:pPr>
            <w:r>
              <w:rPr>
                <w:rFonts w:hint="eastAsia" w:ascii="仿宋" w:hAnsi="仿宋" w:eastAsia="仿宋" w:cs="仿宋"/>
                <w:b w:val="0"/>
                <w:sz w:val="20"/>
              </w:rPr>
              <w:t>前3周与3周项目一致；第4周增加</w:t>
            </w:r>
            <w:r>
              <w:rPr>
                <w:rFonts w:hint="eastAsia" w:ascii="仿宋" w:hAnsi="仿宋" w:eastAsia="仿宋" w:cs="仿宋"/>
                <w:b w:val="0"/>
                <w:sz w:val="20"/>
                <w:lang w:val="en-US" w:eastAsia="zh-CN"/>
              </w:rPr>
              <w:t>教育</w:t>
            </w:r>
            <w:r>
              <w:rPr>
                <w:rFonts w:hint="eastAsia" w:ascii="仿宋" w:hAnsi="仿宋" w:eastAsia="仿宋" w:cs="仿宋"/>
                <w:b w:val="0"/>
                <w:sz w:val="20"/>
              </w:rPr>
              <w:t>专业研讨</w:t>
            </w:r>
            <w:r>
              <w:rPr>
                <w:rFonts w:hint="eastAsia" w:ascii="仿宋" w:hAnsi="仿宋" w:eastAsia="仿宋" w:cs="仿宋"/>
                <w:b w:val="0"/>
                <w:sz w:val="20"/>
                <w:lang w:val="en-US" w:eastAsia="zh-CN"/>
              </w:rPr>
              <w:t>课程</w:t>
            </w:r>
          </w:p>
        </w:tc>
      </w:tr>
      <w:tr w14:paraId="7EA73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shd w:val="clear" w:color="auto" w:fill="F2F2F2"/>
            <w:tcMar>
              <w:top w:w="80" w:type="dxa"/>
              <w:left w:w="90" w:type="dxa"/>
              <w:bottom w:w="80" w:type="dxa"/>
              <w:right w:w="90" w:type="dxa"/>
            </w:tcMar>
            <w:vAlign w:val="center"/>
          </w:tcPr>
          <w:p w14:paraId="12DD5CD5">
            <w:pPr>
              <w:keepNext w:val="0"/>
              <w:keepLines w:val="0"/>
              <w:pageBreakBefore w:val="0"/>
              <w:widowControl/>
              <w:kinsoku/>
              <w:wordWrap/>
              <w:overflowPunct/>
              <w:topLinePunct w:val="0"/>
              <w:autoSpaceDE/>
              <w:autoSpaceDN/>
              <w:bidi w:val="0"/>
              <w:adjustRightInd/>
              <w:snapToGrid/>
              <w:spacing w:before="0" w:after="0" w:line="240" w:lineRule="auto"/>
              <w:ind w:left="0" w:firstLine="0"/>
              <w:jc w:val="center"/>
              <w:textAlignment w:val="auto"/>
              <w:rPr>
                <w:rFonts w:hint="eastAsia" w:ascii="仿宋" w:hAnsi="仿宋" w:eastAsia="仿宋" w:cs="仿宋"/>
              </w:rPr>
            </w:pPr>
            <w:r>
              <w:rPr>
                <w:rFonts w:hint="eastAsia" w:ascii="仿宋" w:hAnsi="仿宋" w:eastAsia="仿宋" w:cs="仿宋"/>
                <w:b w:val="0"/>
                <w:sz w:val="20"/>
              </w:rPr>
              <w:t>专业方向</w:t>
            </w:r>
          </w:p>
        </w:tc>
        <w:tc>
          <w:tcPr>
            <w:tcW w:w="3665" w:type="dxa"/>
            <w:tcMar>
              <w:top w:w="80" w:type="dxa"/>
              <w:left w:w="90" w:type="dxa"/>
              <w:bottom w:w="80" w:type="dxa"/>
              <w:right w:w="90" w:type="dxa"/>
            </w:tcMar>
            <w:vAlign w:val="center"/>
          </w:tcPr>
          <w:p w14:paraId="281E5873">
            <w:pPr>
              <w:keepNext w:val="0"/>
              <w:keepLines w:val="0"/>
              <w:pageBreakBefore w:val="0"/>
              <w:widowControl/>
              <w:kinsoku/>
              <w:wordWrap/>
              <w:overflowPunct/>
              <w:topLinePunct w:val="0"/>
              <w:autoSpaceDE/>
              <w:autoSpaceDN/>
              <w:bidi w:val="0"/>
              <w:adjustRightInd/>
              <w:snapToGrid/>
              <w:spacing w:before="0" w:after="0" w:line="240" w:lineRule="auto"/>
              <w:ind w:left="0" w:firstLine="0"/>
              <w:jc w:val="both"/>
              <w:textAlignment w:val="auto"/>
              <w:rPr>
                <w:rFonts w:hint="eastAsia" w:ascii="仿宋" w:hAnsi="仿宋" w:eastAsia="仿宋" w:cs="仿宋"/>
                <w:b w:val="0"/>
                <w:sz w:val="20"/>
              </w:rPr>
            </w:pPr>
            <w:r>
              <w:rPr>
                <w:rFonts w:hint="eastAsia" w:ascii="仿宋" w:hAnsi="仿宋" w:eastAsia="仿宋" w:cs="仿宋"/>
                <w:b w:val="0"/>
                <w:sz w:val="20"/>
              </w:rPr>
              <w:t>国际学术英语与研究能力训练</w:t>
            </w:r>
          </w:p>
        </w:tc>
        <w:tc>
          <w:tcPr>
            <w:tcW w:w="3591" w:type="dxa"/>
            <w:tcMar>
              <w:top w:w="80" w:type="dxa"/>
              <w:left w:w="90" w:type="dxa"/>
              <w:bottom w:w="80" w:type="dxa"/>
              <w:right w:w="90" w:type="dxa"/>
            </w:tcMar>
            <w:vAlign w:val="center"/>
          </w:tcPr>
          <w:p w14:paraId="750EF0A1">
            <w:pPr>
              <w:keepNext w:val="0"/>
              <w:keepLines w:val="0"/>
              <w:pageBreakBefore w:val="0"/>
              <w:widowControl/>
              <w:kinsoku/>
              <w:wordWrap/>
              <w:overflowPunct/>
              <w:topLinePunct w:val="0"/>
              <w:autoSpaceDE/>
              <w:autoSpaceDN/>
              <w:bidi w:val="0"/>
              <w:adjustRightInd/>
              <w:snapToGrid/>
              <w:spacing w:before="0" w:after="0" w:line="240" w:lineRule="auto"/>
              <w:ind w:left="0" w:firstLine="0"/>
              <w:jc w:val="both"/>
              <w:textAlignment w:val="auto"/>
              <w:rPr>
                <w:rFonts w:hint="eastAsia" w:ascii="仿宋" w:hAnsi="仿宋" w:eastAsia="仿宋" w:cs="仿宋"/>
                <w:b w:val="0"/>
                <w:sz w:val="20"/>
              </w:rPr>
            </w:pPr>
            <w:r>
              <w:rPr>
                <w:rFonts w:hint="eastAsia" w:ascii="仿宋" w:hAnsi="仿宋" w:eastAsia="仿宋" w:cs="仿宋"/>
                <w:b w:val="0"/>
                <w:sz w:val="20"/>
              </w:rPr>
              <w:t>学术能力训练 + 教育专业方向进阶</w:t>
            </w:r>
          </w:p>
        </w:tc>
      </w:tr>
      <w:tr w14:paraId="312EA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shd w:val="clear" w:color="auto" w:fill="F2F2F2"/>
            <w:tcMar>
              <w:top w:w="80" w:type="dxa"/>
              <w:left w:w="90" w:type="dxa"/>
              <w:bottom w:w="80" w:type="dxa"/>
              <w:right w:w="90" w:type="dxa"/>
            </w:tcMar>
            <w:vAlign w:val="center"/>
          </w:tcPr>
          <w:p w14:paraId="7BEF1EF7">
            <w:pPr>
              <w:keepNext w:val="0"/>
              <w:keepLines w:val="0"/>
              <w:pageBreakBefore w:val="0"/>
              <w:widowControl/>
              <w:kinsoku/>
              <w:wordWrap/>
              <w:overflowPunct/>
              <w:topLinePunct w:val="0"/>
              <w:autoSpaceDE/>
              <w:autoSpaceDN/>
              <w:bidi w:val="0"/>
              <w:adjustRightInd/>
              <w:snapToGrid/>
              <w:spacing w:before="0" w:after="0" w:line="240" w:lineRule="auto"/>
              <w:ind w:left="0" w:firstLine="0"/>
              <w:jc w:val="center"/>
              <w:textAlignment w:val="auto"/>
              <w:rPr>
                <w:rFonts w:hint="eastAsia" w:ascii="仿宋" w:hAnsi="仿宋" w:eastAsia="仿宋" w:cs="仿宋"/>
              </w:rPr>
            </w:pPr>
            <w:r>
              <w:rPr>
                <w:rFonts w:hint="eastAsia" w:ascii="仿宋" w:hAnsi="仿宋" w:eastAsia="仿宋" w:cs="仿宋"/>
                <w:b w:val="0"/>
                <w:sz w:val="20"/>
              </w:rPr>
              <w:t>学习输出</w:t>
            </w:r>
          </w:p>
        </w:tc>
        <w:tc>
          <w:tcPr>
            <w:tcW w:w="3665" w:type="dxa"/>
            <w:tcMar>
              <w:top w:w="80" w:type="dxa"/>
              <w:left w:w="90" w:type="dxa"/>
              <w:bottom w:w="80" w:type="dxa"/>
              <w:right w:w="90" w:type="dxa"/>
            </w:tcMar>
            <w:vAlign w:val="center"/>
          </w:tcPr>
          <w:p w14:paraId="0CBE0DA1">
            <w:pPr>
              <w:keepNext w:val="0"/>
              <w:keepLines w:val="0"/>
              <w:pageBreakBefore w:val="0"/>
              <w:widowControl/>
              <w:kinsoku/>
              <w:wordWrap/>
              <w:overflowPunct/>
              <w:topLinePunct w:val="0"/>
              <w:autoSpaceDE/>
              <w:autoSpaceDN/>
              <w:bidi w:val="0"/>
              <w:adjustRightInd/>
              <w:snapToGrid/>
              <w:spacing w:before="0" w:after="0" w:line="240" w:lineRule="auto"/>
              <w:ind w:left="0" w:firstLine="0"/>
              <w:jc w:val="both"/>
              <w:textAlignment w:val="auto"/>
              <w:rPr>
                <w:rFonts w:hint="eastAsia" w:ascii="仿宋" w:hAnsi="仿宋" w:eastAsia="仿宋" w:cs="仿宋"/>
                <w:b w:val="0"/>
                <w:sz w:val="20"/>
              </w:rPr>
            </w:pPr>
            <w:r>
              <w:rPr>
                <w:rFonts w:hint="eastAsia" w:ascii="仿宋" w:hAnsi="仿宋" w:eastAsia="仿宋" w:cs="仿宋"/>
                <w:b w:val="0"/>
                <w:sz w:val="20"/>
              </w:rPr>
              <w:t>问卷与调查、学术研究报告、英语综合能力提升</w:t>
            </w:r>
          </w:p>
        </w:tc>
        <w:tc>
          <w:tcPr>
            <w:tcW w:w="3591" w:type="dxa"/>
            <w:tcMar>
              <w:top w:w="80" w:type="dxa"/>
              <w:left w:w="90" w:type="dxa"/>
              <w:bottom w:w="80" w:type="dxa"/>
              <w:right w:w="90" w:type="dxa"/>
            </w:tcMar>
            <w:vAlign w:val="center"/>
          </w:tcPr>
          <w:p w14:paraId="34795276">
            <w:pPr>
              <w:keepNext w:val="0"/>
              <w:keepLines w:val="0"/>
              <w:pageBreakBefore w:val="0"/>
              <w:widowControl/>
              <w:kinsoku/>
              <w:wordWrap/>
              <w:overflowPunct/>
              <w:topLinePunct w:val="0"/>
              <w:autoSpaceDE/>
              <w:autoSpaceDN/>
              <w:bidi w:val="0"/>
              <w:adjustRightInd/>
              <w:snapToGrid/>
              <w:spacing w:before="0" w:after="0" w:line="240" w:lineRule="auto"/>
              <w:ind w:left="0" w:firstLine="0"/>
              <w:jc w:val="both"/>
              <w:textAlignment w:val="auto"/>
              <w:rPr>
                <w:rFonts w:hint="eastAsia" w:ascii="仿宋" w:hAnsi="仿宋" w:eastAsia="仿宋" w:cs="仿宋"/>
                <w:b w:val="0"/>
                <w:sz w:val="20"/>
              </w:rPr>
            </w:pPr>
            <w:r>
              <w:rPr>
                <w:rFonts w:hint="eastAsia" w:ascii="仿宋" w:hAnsi="仿宋" w:eastAsia="仿宋" w:cs="仿宋"/>
                <w:b w:val="0"/>
                <w:sz w:val="20"/>
              </w:rPr>
              <w:t>在3周成果基础上增加专业方向研讨与专题学习</w:t>
            </w:r>
          </w:p>
        </w:tc>
      </w:tr>
      <w:tr w14:paraId="0A36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shd w:val="clear" w:color="auto" w:fill="F2F2F2"/>
            <w:tcMar>
              <w:top w:w="80" w:type="dxa"/>
              <w:left w:w="90" w:type="dxa"/>
              <w:bottom w:w="80" w:type="dxa"/>
              <w:right w:w="90" w:type="dxa"/>
            </w:tcMar>
            <w:vAlign w:val="center"/>
          </w:tcPr>
          <w:p w14:paraId="5A965C41">
            <w:pPr>
              <w:keepNext w:val="0"/>
              <w:keepLines w:val="0"/>
              <w:pageBreakBefore w:val="0"/>
              <w:widowControl/>
              <w:kinsoku/>
              <w:wordWrap/>
              <w:overflowPunct/>
              <w:topLinePunct w:val="0"/>
              <w:autoSpaceDE/>
              <w:autoSpaceDN/>
              <w:bidi w:val="0"/>
              <w:adjustRightInd/>
              <w:snapToGrid/>
              <w:spacing w:before="0" w:after="0" w:line="240" w:lineRule="auto"/>
              <w:ind w:left="0" w:firstLine="0"/>
              <w:jc w:val="center"/>
              <w:textAlignment w:val="auto"/>
              <w:rPr>
                <w:rFonts w:hint="eastAsia" w:ascii="仿宋" w:hAnsi="仿宋" w:eastAsia="仿宋" w:cs="仿宋"/>
              </w:rPr>
            </w:pPr>
            <w:r>
              <w:rPr>
                <w:rFonts w:hint="eastAsia" w:ascii="仿宋" w:hAnsi="仿宋" w:eastAsia="仿宋" w:cs="仿宋"/>
                <w:b w:val="0"/>
                <w:sz w:val="20"/>
              </w:rPr>
              <w:t>结业成果</w:t>
            </w:r>
          </w:p>
        </w:tc>
        <w:tc>
          <w:tcPr>
            <w:tcW w:w="3665" w:type="dxa"/>
            <w:tcMar>
              <w:top w:w="80" w:type="dxa"/>
              <w:left w:w="90" w:type="dxa"/>
              <w:bottom w:w="80" w:type="dxa"/>
              <w:right w:w="90" w:type="dxa"/>
            </w:tcMar>
            <w:vAlign w:val="center"/>
          </w:tcPr>
          <w:p w14:paraId="58E5F592">
            <w:pPr>
              <w:keepNext w:val="0"/>
              <w:keepLines w:val="0"/>
              <w:pageBreakBefore w:val="0"/>
              <w:widowControl/>
              <w:kinsoku/>
              <w:wordWrap/>
              <w:overflowPunct/>
              <w:topLinePunct w:val="0"/>
              <w:autoSpaceDE/>
              <w:autoSpaceDN/>
              <w:bidi w:val="0"/>
              <w:adjustRightInd/>
              <w:snapToGrid/>
              <w:spacing w:before="0" w:after="0" w:line="240" w:lineRule="auto"/>
              <w:ind w:left="0" w:firstLine="0"/>
              <w:jc w:val="both"/>
              <w:textAlignment w:val="auto"/>
              <w:rPr>
                <w:rFonts w:hint="eastAsia" w:ascii="仿宋" w:hAnsi="仿宋" w:eastAsia="仿宋" w:cs="仿宋"/>
              </w:rPr>
            </w:pPr>
            <w:r>
              <w:rPr>
                <w:rFonts w:hint="eastAsia" w:ascii="仿宋" w:hAnsi="仿宋" w:eastAsia="仿宋" w:cs="仿宋"/>
                <w:b w:val="0"/>
                <w:sz w:val="20"/>
              </w:rPr>
              <w:t>UCL语言与国际教育中心结业证书 + 个人评估报告</w:t>
            </w:r>
          </w:p>
        </w:tc>
        <w:tc>
          <w:tcPr>
            <w:tcW w:w="3591" w:type="dxa"/>
            <w:tcMar>
              <w:top w:w="80" w:type="dxa"/>
              <w:left w:w="90" w:type="dxa"/>
              <w:bottom w:w="80" w:type="dxa"/>
              <w:right w:w="90" w:type="dxa"/>
            </w:tcMar>
            <w:vAlign w:val="center"/>
          </w:tcPr>
          <w:p w14:paraId="72A0FB29">
            <w:pPr>
              <w:keepNext w:val="0"/>
              <w:keepLines w:val="0"/>
              <w:pageBreakBefore w:val="0"/>
              <w:widowControl/>
              <w:kinsoku/>
              <w:wordWrap/>
              <w:overflowPunct/>
              <w:topLinePunct w:val="0"/>
              <w:autoSpaceDE/>
              <w:autoSpaceDN/>
              <w:bidi w:val="0"/>
              <w:adjustRightInd/>
              <w:snapToGrid/>
              <w:spacing w:before="0" w:after="0" w:line="240" w:lineRule="auto"/>
              <w:ind w:left="0" w:firstLine="0"/>
              <w:jc w:val="both"/>
              <w:textAlignment w:val="auto"/>
              <w:rPr>
                <w:rFonts w:hint="eastAsia" w:ascii="仿宋" w:hAnsi="仿宋" w:eastAsia="仿宋" w:cs="仿宋"/>
              </w:rPr>
            </w:pPr>
            <w:r>
              <w:rPr>
                <w:rFonts w:hint="eastAsia" w:ascii="仿宋" w:hAnsi="仿宋" w:eastAsia="仿宋" w:cs="仿宋"/>
                <w:b w:val="0"/>
                <w:sz w:val="20"/>
              </w:rPr>
              <w:t>3周结业证书及个人评估报告 + UCL教育学院第4周结业证书</w:t>
            </w:r>
          </w:p>
        </w:tc>
      </w:tr>
      <w:tr w14:paraId="73C2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shd w:val="clear" w:color="auto" w:fill="F2F2F2"/>
            <w:tcMar>
              <w:top w:w="80" w:type="dxa"/>
              <w:left w:w="90" w:type="dxa"/>
              <w:bottom w:w="80" w:type="dxa"/>
              <w:right w:w="90" w:type="dxa"/>
            </w:tcMar>
            <w:vAlign w:val="center"/>
          </w:tcPr>
          <w:p w14:paraId="3AC71D6E">
            <w:pPr>
              <w:keepNext w:val="0"/>
              <w:keepLines w:val="0"/>
              <w:pageBreakBefore w:val="0"/>
              <w:widowControl/>
              <w:kinsoku/>
              <w:wordWrap/>
              <w:overflowPunct/>
              <w:topLinePunct w:val="0"/>
              <w:autoSpaceDE/>
              <w:autoSpaceDN/>
              <w:bidi w:val="0"/>
              <w:adjustRightInd/>
              <w:snapToGrid/>
              <w:spacing w:before="0" w:after="0" w:line="240" w:lineRule="auto"/>
              <w:ind w:left="0" w:firstLine="0"/>
              <w:jc w:val="center"/>
              <w:textAlignment w:val="auto"/>
              <w:rPr>
                <w:rFonts w:hint="eastAsia" w:ascii="仿宋" w:hAnsi="仿宋" w:eastAsia="仿宋" w:cs="仿宋"/>
              </w:rPr>
            </w:pPr>
            <w:r>
              <w:rPr>
                <w:rFonts w:hint="eastAsia" w:ascii="仿宋" w:hAnsi="仿宋" w:eastAsia="仿宋" w:cs="仿宋"/>
                <w:b w:val="0"/>
                <w:sz w:val="20"/>
              </w:rPr>
              <w:t>适合人群</w:t>
            </w:r>
          </w:p>
        </w:tc>
        <w:tc>
          <w:tcPr>
            <w:tcW w:w="3665" w:type="dxa"/>
            <w:tcMar>
              <w:top w:w="80" w:type="dxa"/>
              <w:left w:w="90" w:type="dxa"/>
              <w:bottom w:w="80" w:type="dxa"/>
              <w:right w:w="90" w:type="dxa"/>
            </w:tcMar>
            <w:vAlign w:val="center"/>
          </w:tcPr>
          <w:p w14:paraId="12C97B8F">
            <w:pPr>
              <w:keepNext w:val="0"/>
              <w:keepLines w:val="0"/>
              <w:pageBreakBefore w:val="0"/>
              <w:widowControl/>
              <w:kinsoku/>
              <w:wordWrap/>
              <w:overflowPunct/>
              <w:topLinePunct w:val="0"/>
              <w:autoSpaceDE/>
              <w:autoSpaceDN/>
              <w:bidi w:val="0"/>
              <w:adjustRightInd/>
              <w:snapToGrid/>
              <w:spacing w:before="0" w:after="0" w:line="240" w:lineRule="auto"/>
              <w:ind w:left="0" w:firstLine="0"/>
              <w:jc w:val="both"/>
              <w:textAlignment w:val="auto"/>
              <w:rPr>
                <w:rFonts w:hint="eastAsia" w:ascii="仿宋" w:hAnsi="仿宋" w:eastAsia="仿宋" w:cs="仿宋"/>
              </w:rPr>
            </w:pPr>
            <w:r>
              <w:rPr>
                <w:rFonts w:hint="eastAsia" w:ascii="仿宋" w:hAnsi="仿宋" w:eastAsia="仿宋" w:cs="仿宋"/>
                <w:b w:val="0"/>
                <w:sz w:val="20"/>
              </w:rPr>
              <w:t>专业不限；适合希望提升国际学术英语、研究及表达能力的学生</w:t>
            </w:r>
          </w:p>
        </w:tc>
        <w:tc>
          <w:tcPr>
            <w:tcW w:w="3591" w:type="dxa"/>
            <w:tcMar>
              <w:top w:w="80" w:type="dxa"/>
              <w:left w:w="90" w:type="dxa"/>
              <w:bottom w:w="80" w:type="dxa"/>
              <w:right w:w="90" w:type="dxa"/>
            </w:tcMar>
            <w:vAlign w:val="center"/>
          </w:tcPr>
          <w:p w14:paraId="0FA441B0">
            <w:pPr>
              <w:keepNext w:val="0"/>
              <w:keepLines w:val="0"/>
              <w:pageBreakBefore w:val="0"/>
              <w:widowControl/>
              <w:kinsoku/>
              <w:wordWrap/>
              <w:overflowPunct/>
              <w:topLinePunct w:val="0"/>
              <w:autoSpaceDE/>
              <w:autoSpaceDN/>
              <w:bidi w:val="0"/>
              <w:adjustRightInd/>
              <w:snapToGrid/>
              <w:spacing w:before="0" w:after="0" w:line="240" w:lineRule="auto"/>
              <w:ind w:left="0" w:firstLine="0"/>
              <w:jc w:val="both"/>
              <w:textAlignment w:val="auto"/>
              <w:rPr>
                <w:rFonts w:hint="eastAsia" w:ascii="仿宋" w:hAnsi="仿宋" w:eastAsia="仿宋" w:cs="仿宋"/>
              </w:rPr>
            </w:pPr>
            <w:r>
              <w:rPr>
                <w:rFonts w:hint="eastAsia" w:ascii="仿宋" w:hAnsi="仿宋" w:eastAsia="仿宋" w:cs="仿宋"/>
                <w:b w:val="0"/>
                <w:sz w:val="20"/>
              </w:rPr>
              <w:t>尤其适合对教育、数字教育、AI与教学创新感兴趣的学生</w:t>
            </w:r>
          </w:p>
        </w:tc>
      </w:tr>
    </w:tbl>
    <w:p w14:paraId="3B1196F1">
      <w:pPr>
        <w:pStyle w:val="168"/>
        <w:keepNext w:val="0"/>
        <w:keepLines w:val="0"/>
        <w:pageBreakBefore w:val="0"/>
        <w:widowControl/>
        <w:numPr>
          <w:ilvl w:val="0"/>
          <w:numId w:val="8"/>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仿宋" w:hAnsi="仿宋" w:eastAsia="仿宋" w:cs="仿宋"/>
          <w:b/>
          <w:bCs/>
        </w:rPr>
      </w:pPr>
      <w:r>
        <w:rPr>
          <w:rFonts w:hint="eastAsia" w:ascii="仿宋" w:hAnsi="仿宋" w:eastAsia="仿宋" w:cs="仿宋"/>
          <w:b/>
          <w:bCs/>
          <w:sz w:val="24"/>
        </w:rPr>
        <w:t>项目收获：</w:t>
      </w:r>
    </w:p>
    <w:p w14:paraId="7AA00A64">
      <w:pPr>
        <w:pStyle w:val="168"/>
        <w:keepNext w:val="0"/>
        <w:keepLines w:val="0"/>
        <w:pageBreakBefore w:val="0"/>
        <w:widowControl/>
        <w:numPr>
          <w:ilvl w:val="0"/>
          <w:numId w:val="12"/>
        </w:numPr>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val="0"/>
          <w:sz w:val="24"/>
        </w:rPr>
      </w:pPr>
      <w:r>
        <w:rPr>
          <w:rFonts w:hint="eastAsia" w:ascii="仿宋" w:hAnsi="仿宋" w:eastAsia="仿宋" w:cs="仿宋"/>
          <w:b w:val="0"/>
          <w:sz w:val="24"/>
        </w:rPr>
        <w:t>项目结业成果：完成3周项目的学生可获得UCL语言与国际教育中心签发的结业证书及个人评估报告；完成4周项目的学生还将额外获得UCL教育学院颁发的第4周结业证书。</w:t>
      </w:r>
    </w:p>
    <w:p w14:paraId="2AD7066F">
      <w:pPr>
        <w:pStyle w:val="168"/>
        <w:keepNext w:val="0"/>
        <w:keepLines w:val="0"/>
        <w:pageBreakBefore w:val="0"/>
        <w:widowControl/>
        <w:numPr>
          <w:ilvl w:val="0"/>
          <w:numId w:val="12"/>
        </w:numPr>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val="0"/>
          <w:sz w:val="24"/>
        </w:rPr>
      </w:pPr>
      <w:r>
        <w:rPr>
          <w:rFonts w:hint="eastAsia" w:ascii="仿宋" w:hAnsi="仿宋" w:eastAsia="仿宋" w:cs="仿宋"/>
          <w:b w:val="0"/>
          <w:sz w:val="24"/>
        </w:rPr>
        <w:t>国际学术英语与课堂能力：通过大学讲座听力、研讨课参与、学术表达与展示训练，提升英语综合应用能力，并熟悉英国大学课堂常见的学习方式与学术要求。</w:t>
      </w:r>
    </w:p>
    <w:p w14:paraId="6D50B586">
      <w:pPr>
        <w:pStyle w:val="168"/>
        <w:keepNext w:val="0"/>
        <w:keepLines w:val="0"/>
        <w:pageBreakBefore w:val="0"/>
        <w:widowControl/>
        <w:numPr>
          <w:ilvl w:val="0"/>
          <w:numId w:val="12"/>
        </w:numPr>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val="0"/>
          <w:sz w:val="24"/>
        </w:rPr>
      </w:pPr>
      <w:r>
        <w:rPr>
          <w:rFonts w:hint="eastAsia" w:ascii="仿宋" w:hAnsi="仿宋" w:eastAsia="仿宋" w:cs="仿宋"/>
          <w:b w:val="0"/>
          <w:sz w:val="24"/>
        </w:rPr>
        <w:t>研究方法与成果表达：通过</w:t>
      </w:r>
      <w:r>
        <w:rPr>
          <w:rFonts w:hint="eastAsia" w:ascii="仿宋" w:hAnsi="仿宋" w:eastAsia="仿宋" w:cs="仿宋"/>
          <w:b w:val="0"/>
          <w:sz w:val="24"/>
          <w:lang w:eastAsia="zh-CN"/>
        </w:rPr>
        <w:t>课题研究项目</w:t>
      </w:r>
      <w:r>
        <w:rPr>
          <w:rFonts w:hint="eastAsia" w:ascii="仿宋" w:hAnsi="仿宋" w:eastAsia="仿宋" w:cs="仿宋"/>
          <w:b w:val="0"/>
          <w:sz w:val="24"/>
        </w:rPr>
        <w:t>完整经历研究问题、问卷设计、数据整理、研究报告撰写及Final Presentation，训练研究思路、学术写作与成果展示能力。</w:t>
      </w:r>
    </w:p>
    <w:p w14:paraId="7CDF09A3">
      <w:pPr>
        <w:pStyle w:val="168"/>
        <w:keepNext w:val="0"/>
        <w:keepLines w:val="0"/>
        <w:pageBreakBefore w:val="0"/>
        <w:widowControl/>
        <w:numPr>
          <w:ilvl w:val="0"/>
          <w:numId w:val="12"/>
        </w:numPr>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val="0"/>
          <w:sz w:val="24"/>
        </w:rPr>
      </w:pPr>
      <w:r>
        <w:rPr>
          <w:rFonts w:hint="eastAsia" w:ascii="仿宋" w:hAnsi="仿宋" w:eastAsia="仿宋" w:cs="仿宋"/>
          <w:b w:val="0"/>
          <w:sz w:val="24"/>
        </w:rPr>
        <w:t>教育专业方向拓展：4周项目在前三周学术训练基础上进一步进入UCL教育学院专业学习，可选择学前与小学教育或数字教育方向，了解英国教育实践及AI与数字教育等议题。</w:t>
      </w:r>
      <w:r>
        <w:rPr>
          <w:rFonts w:hint="eastAsia" w:ascii="仿宋" w:hAnsi="仿宋" w:eastAsia="仿宋" w:cs="仿宋"/>
          <w:b w:val="0"/>
          <w:sz w:val="24"/>
          <w:lang w:val="en-US" w:eastAsia="zh-CN"/>
        </w:rPr>
        <w:tab/>
      </w:r>
    </w:p>
    <w:p w14:paraId="72A3DC0D">
      <w:pPr>
        <w:pStyle w:val="168"/>
        <w:keepNext w:val="0"/>
        <w:keepLines w:val="0"/>
        <w:pageBreakBefore w:val="0"/>
        <w:widowControl/>
        <w:numPr>
          <w:ilvl w:val="0"/>
          <w:numId w:val="12"/>
        </w:numPr>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val="0"/>
          <w:sz w:val="24"/>
        </w:rPr>
      </w:pPr>
      <w:r>
        <w:rPr>
          <w:rFonts w:hint="eastAsia" w:ascii="仿宋" w:hAnsi="仿宋" w:eastAsia="仿宋" w:cs="仿宋"/>
          <w:b w:val="0"/>
          <w:sz w:val="24"/>
        </w:rPr>
        <w:t>国际学习与跨文化体验：在UCL校园及伦敦真实国际化环境中学习和交流，了解英国高校学术文化，拓展国际视野和跨文化沟通经验。</w:t>
      </w:r>
    </w:p>
    <w:p w14:paraId="5D641FA4">
      <w:pPr>
        <w:pStyle w:val="168"/>
        <w:keepNext w:val="0"/>
        <w:keepLines w:val="0"/>
        <w:pageBreakBefore w:val="0"/>
        <w:widowControl/>
        <w:numPr>
          <w:ilvl w:val="0"/>
          <w:numId w:val="8"/>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仿宋" w:hAnsi="仿宋" w:eastAsia="仿宋" w:cs="仿宋"/>
          <w:b/>
          <w:bCs/>
        </w:rPr>
      </w:pPr>
      <w:r>
        <w:rPr>
          <w:rFonts w:hint="eastAsia" w:ascii="仿宋" w:hAnsi="仿宋" w:eastAsia="仿宋" w:cs="仿宋"/>
          <w:b/>
          <w:bCs/>
          <w:sz w:val="24"/>
        </w:rPr>
        <w:t>住宿与项目支持：</w:t>
      </w:r>
    </w:p>
    <w:p w14:paraId="7DCA682F">
      <w:pPr>
        <w:pStyle w:val="168"/>
        <w:keepNext w:val="0"/>
        <w:keepLines w:val="0"/>
        <w:pageBreakBefore w:val="0"/>
        <w:widowControl/>
        <w:numPr>
          <w:ilvl w:val="0"/>
          <w:numId w:val="13"/>
        </w:numPr>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val="0"/>
          <w:sz w:val="24"/>
          <w:lang w:eastAsia="zh-CN"/>
        </w:rPr>
      </w:pPr>
      <w:r>
        <w:rPr>
          <w:rFonts w:hint="eastAsia" w:ascii="仿宋" w:hAnsi="仿宋" w:eastAsia="仿宋" w:cs="仿宋"/>
          <w:b w:val="0"/>
          <w:sz w:val="24"/>
          <w:lang w:val="en-US" w:eastAsia="zh-CN"/>
        </w:rPr>
        <w:t>住宿安排：</w:t>
      </w:r>
      <w:r>
        <w:rPr>
          <w:rFonts w:hint="default" w:ascii="仿宋" w:hAnsi="仿宋" w:eastAsia="仿宋" w:cs="仿宋"/>
          <w:b w:val="0"/>
          <w:sz w:val="24"/>
          <w:lang w:eastAsia="zh-CN"/>
        </w:rPr>
        <w:t>根据当时资源情况安排入住当地酒店或学生公寓，</w:t>
      </w:r>
      <w:r>
        <w:rPr>
          <w:rFonts w:hint="eastAsia" w:ascii="仿宋" w:hAnsi="仿宋" w:eastAsia="仿宋" w:cs="仿宋"/>
          <w:b w:val="0"/>
          <w:sz w:val="24"/>
        </w:rPr>
        <w:t>餐食自理</w:t>
      </w:r>
      <w:r>
        <w:rPr>
          <w:rFonts w:hint="eastAsia" w:ascii="仿宋" w:hAnsi="仿宋" w:eastAsia="仿宋" w:cs="仿宋"/>
          <w:b w:val="0"/>
          <w:sz w:val="24"/>
          <w:lang w:eastAsia="zh-CN"/>
        </w:rPr>
        <w:t>；</w:t>
      </w:r>
    </w:p>
    <w:p w14:paraId="32B6B02B">
      <w:pPr>
        <w:pStyle w:val="168"/>
        <w:keepNext w:val="0"/>
        <w:keepLines w:val="0"/>
        <w:pageBreakBefore w:val="0"/>
        <w:widowControl/>
        <w:numPr>
          <w:ilvl w:val="0"/>
          <w:numId w:val="13"/>
        </w:numPr>
        <w:kinsoku/>
        <w:wordWrap/>
        <w:overflowPunct/>
        <w:topLinePunct w:val="0"/>
        <w:autoSpaceDE/>
        <w:autoSpaceDN/>
        <w:bidi w:val="0"/>
        <w:adjustRightInd/>
        <w:snapToGrid/>
        <w:spacing w:after="0" w:line="440" w:lineRule="exact"/>
        <w:ind w:left="0" w:firstLine="0"/>
        <w:jc w:val="both"/>
        <w:textAlignment w:val="auto"/>
        <w:rPr>
          <w:rFonts w:hint="eastAsia" w:ascii="仿宋" w:hAnsi="仿宋" w:eastAsia="仿宋" w:cs="仿宋"/>
          <w:b w:val="0"/>
          <w:sz w:val="24"/>
        </w:rPr>
      </w:pPr>
      <w:r>
        <w:rPr>
          <w:rFonts w:hint="eastAsia" w:ascii="仿宋" w:hAnsi="仿宋" w:eastAsia="仿宋" w:cs="仿宋"/>
          <w:b w:val="0"/>
          <w:sz w:val="24"/>
          <w:lang w:val="en-US" w:eastAsia="zh-CN"/>
        </w:rPr>
        <w:t>项目支持：</w:t>
      </w:r>
      <w:r>
        <w:rPr>
          <w:rFonts w:hint="eastAsia" w:ascii="仿宋" w:hAnsi="仿宋" w:eastAsia="仿宋" w:cs="仿宋"/>
          <w:b w:val="0"/>
          <w:sz w:val="24"/>
        </w:rPr>
        <w:t>访学期间配备常驻英国华人协调员，为学生提供必要的课程对接、出入境及学习生活协助。</w:t>
      </w:r>
    </w:p>
    <w:p w14:paraId="14CF6022">
      <w:pPr>
        <w:keepNext/>
        <w:keepLines w:val="0"/>
        <w:pageBreakBefore w:val="0"/>
        <w:widowControl/>
        <w:kinsoku/>
        <w:wordWrap/>
        <w:overflowPunct/>
        <w:topLinePunct w:val="0"/>
        <w:autoSpaceDE/>
        <w:autoSpaceDN/>
        <w:bidi w:val="0"/>
        <w:adjustRightInd/>
        <w:snapToGrid/>
        <w:spacing w:before="361" w:beforeLines="100" w:after="181" w:afterLines="50" w:line="440" w:lineRule="exact"/>
        <w:ind w:left="0" w:firstLine="0"/>
        <w:jc w:val="both"/>
        <w:textAlignment w:val="auto"/>
        <w:rPr>
          <w:rFonts w:hint="eastAsia" w:ascii="仿宋" w:hAnsi="仿宋" w:eastAsia="仿宋" w:cs="仿宋"/>
          <w:b/>
          <w:sz w:val="28"/>
        </w:rPr>
      </w:pPr>
      <w:r>
        <w:rPr>
          <w:rFonts w:hint="eastAsia" w:ascii="仿宋" w:hAnsi="仿宋" w:eastAsia="仿宋" w:cs="仿宋"/>
          <w:b/>
          <w:sz w:val="28"/>
        </w:rPr>
        <w:t>四、项目费用说明</w:t>
      </w:r>
    </w:p>
    <w:p w14:paraId="3AF3C883">
      <w:pPr>
        <w:keepNext/>
        <w:keepLines w:val="0"/>
        <w:pageBreakBefore w:val="0"/>
        <w:widowControl/>
        <w:kinsoku/>
        <w:wordWrap/>
        <w:overflowPunct/>
        <w:topLinePunct w:val="0"/>
        <w:autoSpaceDE/>
        <w:autoSpaceDN/>
        <w:bidi w:val="0"/>
        <w:adjustRightInd/>
        <w:snapToGrid/>
        <w:spacing w:before="0" w:after="0" w:line="440" w:lineRule="exact"/>
        <w:ind w:left="0" w:firstLine="0"/>
        <w:jc w:val="both"/>
        <w:textAlignment w:val="auto"/>
        <w:rPr>
          <w:rFonts w:hint="default" w:ascii="仿宋" w:hAnsi="仿宋" w:eastAsia="仿宋" w:cs="仿宋"/>
          <w:b/>
          <w:sz w:val="24"/>
          <w:szCs w:val="21"/>
          <w:lang w:val="en-US" w:eastAsia="zh-CN"/>
        </w:rPr>
      </w:pPr>
      <w:r>
        <w:rPr>
          <w:rFonts w:hint="eastAsia" w:ascii="仿宋" w:hAnsi="仿宋" w:eastAsia="仿宋" w:cs="仿宋"/>
          <w:b/>
          <w:sz w:val="24"/>
          <w:szCs w:val="21"/>
          <w:lang w:val="en-US" w:eastAsia="zh-CN"/>
        </w:rPr>
        <w:t>项目费用：</w:t>
      </w:r>
    </w:p>
    <w:tbl>
      <w:tblPr>
        <w:tblStyle w:val="35"/>
        <w:tblW w:w="8466" w:type="dxa"/>
        <w:jc w:val="center"/>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Layout w:type="autofit"/>
        <w:tblCellMar>
          <w:top w:w="0" w:type="dxa"/>
          <w:left w:w="108" w:type="dxa"/>
          <w:bottom w:w="0" w:type="dxa"/>
          <w:right w:w="108" w:type="dxa"/>
        </w:tblCellMar>
      </w:tblPr>
      <w:tblGrid>
        <w:gridCol w:w="1480"/>
        <w:gridCol w:w="4322"/>
        <w:gridCol w:w="2664"/>
      </w:tblGrid>
      <w:tr w14:paraId="24713823">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108" w:type="dxa"/>
            <w:bottom w:w="0" w:type="dxa"/>
            <w:right w:w="108" w:type="dxa"/>
          </w:tblCellMar>
        </w:tblPrEx>
        <w:trPr>
          <w:trHeight w:val="0" w:hRule="atLeast"/>
          <w:tblHeader/>
          <w:jc w:val="center"/>
        </w:trPr>
        <w:tc>
          <w:tcPr>
            <w:tcW w:w="1480" w:type="dxa"/>
            <w:shd w:val="clear" w:color="auto" w:fill="D9EAF7"/>
            <w:tcMar>
              <w:top w:w="60" w:type="dxa"/>
              <w:left w:w="80" w:type="dxa"/>
              <w:bottom w:w="60" w:type="dxa"/>
              <w:right w:w="80" w:type="dxa"/>
            </w:tcMar>
            <w:vAlign w:val="center"/>
          </w:tcPr>
          <w:p w14:paraId="5279F1DB">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ascii="Times New Roman" w:eastAsia="仿宋"/>
                <w:b/>
                <w:sz w:val="21"/>
              </w:rPr>
            </w:pPr>
            <w:r>
              <w:rPr>
                <w:rFonts w:ascii="Times New Roman" w:hAnsi="Times New Roman" w:eastAsia="仿宋"/>
                <w:b/>
                <w:sz w:val="21"/>
              </w:rPr>
              <w:t>类别</w:t>
            </w:r>
          </w:p>
        </w:tc>
        <w:tc>
          <w:tcPr>
            <w:tcW w:w="4322" w:type="dxa"/>
            <w:shd w:val="clear" w:color="auto" w:fill="D9EAF7"/>
            <w:tcMar>
              <w:top w:w="60" w:type="dxa"/>
              <w:left w:w="80" w:type="dxa"/>
              <w:bottom w:w="60" w:type="dxa"/>
              <w:right w:w="80" w:type="dxa"/>
            </w:tcMar>
            <w:vAlign w:val="center"/>
          </w:tcPr>
          <w:p w14:paraId="290072F0">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ascii="Times New Roman" w:eastAsia="仿宋"/>
                <w:b/>
                <w:sz w:val="21"/>
              </w:rPr>
            </w:pPr>
            <w:r>
              <w:rPr>
                <w:rFonts w:ascii="Times New Roman" w:hAnsi="Times New Roman" w:eastAsia="仿宋"/>
                <w:b/>
                <w:sz w:val="21"/>
              </w:rPr>
              <w:t>费用/内容</w:t>
            </w:r>
          </w:p>
        </w:tc>
        <w:tc>
          <w:tcPr>
            <w:tcW w:w="2664" w:type="dxa"/>
            <w:shd w:val="clear" w:color="auto" w:fill="D9EAF7"/>
            <w:tcMar>
              <w:top w:w="60" w:type="dxa"/>
              <w:left w:w="80" w:type="dxa"/>
              <w:bottom w:w="60" w:type="dxa"/>
              <w:right w:w="80" w:type="dxa"/>
            </w:tcMar>
            <w:vAlign w:val="center"/>
          </w:tcPr>
          <w:p w14:paraId="5A047E48">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ascii="Times New Roman" w:eastAsia="仿宋"/>
                <w:b/>
                <w:sz w:val="21"/>
              </w:rPr>
            </w:pPr>
            <w:r>
              <w:rPr>
                <w:rFonts w:ascii="Times New Roman" w:hAnsi="Times New Roman" w:eastAsia="仿宋"/>
                <w:b/>
                <w:sz w:val="21"/>
              </w:rPr>
              <w:t>说明</w:t>
            </w:r>
          </w:p>
        </w:tc>
      </w:tr>
      <w:tr w14:paraId="7C920065">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108" w:type="dxa"/>
            <w:bottom w:w="0" w:type="dxa"/>
            <w:right w:w="108" w:type="dxa"/>
          </w:tblCellMar>
        </w:tblPrEx>
        <w:trPr>
          <w:trHeight w:val="0" w:hRule="atLeast"/>
          <w:jc w:val="center"/>
        </w:trPr>
        <w:tc>
          <w:tcPr>
            <w:tcW w:w="1480" w:type="dxa"/>
            <w:shd w:val="clear" w:color="auto" w:fill="F2F2F2"/>
            <w:tcMar>
              <w:top w:w="60" w:type="dxa"/>
              <w:left w:w="80" w:type="dxa"/>
              <w:bottom w:w="60" w:type="dxa"/>
              <w:right w:w="80" w:type="dxa"/>
            </w:tcMar>
            <w:vAlign w:val="center"/>
          </w:tcPr>
          <w:p w14:paraId="1F23F6F6">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ascii="Times New Roman" w:hAnsi="Times New Roman" w:eastAsia="仿宋"/>
                <w:b/>
                <w:sz w:val="21"/>
                <w:szCs w:val="21"/>
              </w:rPr>
            </w:pPr>
            <w:r>
              <w:rPr>
                <w:rFonts w:ascii="Times New Roman" w:hAnsi="Times New Roman" w:eastAsia="仿宋"/>
                <w:b/>
                <w:sz w:val="21"/>
                <w:szCs w:val="21"/>
              </w:rPr>
              <w:t>3周项目费用</w:t>
            </w:r>
          </w:p>
        </w:tc>
        <w:tc>
          <w:tcPr>
            <w:tcW w:w="4322" w:type="dxa"/>
            <w:tcMar>
              <w:top w:w="60" w:type="dxa"/>
              <w:left w:w="80" w:type="dxa"/>
              <w:bottom w:w="60" w:type="dxa"/>
              <w:right w:w="80" w:type="dxa"/>
            </w:tcMar>
            <w:vAlign w:val="center"/>
          </w:tcPr>
          <w:p w14:paraId="6102642E">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ascii="Times New Roman" w:hAnsi="Times New Roman" w:eastAsia="仿宋"/>
                <w:b w:val="0"/>
                <w:bCs/>
                <w:sz w:val="21"/>
                <w:szCs w:val="21"/>
              </w:rPr>
            </w:pPr>
            <w:r>
              <w:rPr>
                <w:rFonts w:ascii="Times New Roman" w:hAnsi="Times New Roman" w:eastAsia="仿宋"/>
                <w:b w:val="0"/>
                <w:bCs/>
                <w:sz w:val="21"/>
                <w:szCs w:val="21"/>
              </w:rPr>
              <w:t>3,980英镑（折合人民币约3.66万元）</w:t>
            </w:r>
          </w:p>
          <w:p w14:paraId="0601EEC9">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Times New Roman" w:hAnsi="Times New Roman" w:eastAsia="仿宋"/>
                <w:b w:val="0"/>
                <w:bCs/>
                <w:sz w:val="21"/>
                <w:szCs w:val="21"/>
                <w:lang w:val="en-US" w:eastAsia="zh-CN"/>
              </w:rPr>
            </w:pPr>
            <w:r>
              <w:rPr>
                <w:rFonts w:ascii="Times New Roman" w:hAnsi="Times New Roman" w:eastAsia="仿宋"/>
                <w:b w:val="0"/>
                <w:bCs/>
                <w:sz w:val="21"/>
                <w:szCs w:val="21"/>
              </w:rPr>
              <w:t>人民币金额随汇率浮动</w:t>
            </w:r>
          </w:p>
        </w:tc>
        <w:tc>
          <w:tcPr>
            <w:tcW w:w="2664" w:type="dxa"/>
            <w:tcMar>
              <w:top w:w="60" w:type="dxa"/>
              <w:left w:w="80" w:type="dxa"/>
              <w:bottom w:w="60" w:type="dxa"/>
              <w:right w:w="80" w:type="dxa"/>
            </w:tcMar>
            <w:vAlign w:val="center"/>
          </w:tcPr>
          <w:p w14:paraId="5031479D">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Times New Roman" w:hAnsi="Times New Roman" w:eastAsia="仿宋"/>
                <w:b w:val="0"/>
                <w:bCs/>
                <w:sz w:val="21"/>
                <w:szCs w:val="21"/>
                <w:lang w:val="en-US" w:eastAsia="zh-CN"/>
              </w:rPr>
            </w:pPr>
            <w:r>
              <w:rPr>
                <w:rFonts w:hint="eastAsia" w:ascii="Times New Roman" w:hAnsi="Times New Roman" w:eastAsia="仿宋"/>
                <w:b w:val="0"/>
                <w:bCs/>
                <w:sz w:val="21"/>
                <w:szCs w:val="21"/>
                <w:lang w:val="en-US" w:eastAsia="zh-CN"/>
              </w:rPr>
              <w:t>项目费用</w:t>
            </w:r>
            <w:r>
              <w:rPr>
                <w:rFonts w:ascii="Times New Roman" w:hAnsi="Times New Roman" w:eastAsia="仿宋"/>
                <w:b w:val="0"/>
                <w:bCs/>
                <w:sz w:val="21"/>
                <w:szCs w:val="21"/>
              </w:rPr>
              <w:t>包含学费、活动课费用、项目管理服务费、住宿及统一接送机费用</w:t>
            </w:r>
            <w:r>
              <w:rPr>
                <w:rFonts w:hint="eastAsia" w:ascii="Times New Roman" w:hAnsi="Times New Roman" w:eastAsia="仿宋"/>
                <w:b w:val="0"/>
                <w:bCs/>
                <w:sz w:val="21"/>
                <w:szCs w:val="21"/>
                <w:lang w:eastAsia="zh-CN"/>
              </w:rPr>
              <w:t>；</w:t>
            </w:r>
            <w:r>
              <w:rPr>
                <w:rFonts w:hint="eastAsia" w:ascii="Times New Roman" w:hAnsi="Times New Roman" w:eastAsia="仿宋"/>
                <w:b w:val="0"/>
                <w:bCs/>
                <w:sz w:val="21"/>
                <w:szCs w:val="21"/>
                <w:lang w:val="en-US" w:eastAsia="zh-CN"/>
              </w:rPr>
              <w:t>不含</w:t>
            </w:r>
            <w:r>
              <w:rPr>
                <w:rFonts w:ascii="Times New Roman" w:eastAsia="仿宋"/>
                <w:sz w:val="21"/>
                <w:szCs w:val="21"/>
              </w:rPr>
              <w:t>国际往返机票、签证及</w:t>
            </w:r>
            <w:r>
              <w:rPr>
                <w:rFonts w:hint="eastAsia" w:ascii="Times New Roman" w:eastAsia="仿宋"/>
                <w:sz w:val="21"/>
                <w:szCs w:val="21"/>
                <w:lang w:val="en-US" w:eastAsia="zh-CN"/>
              </w:rPr>
              <w:t>第三方专业机构</w:t>
            </w:r>
            <w:r>
              <w:rPr>
                <w:rFonts w:ascii="Times New Roman" w:eastAsia="仿宋"/>
                <w:sz w:val="21"/>
                <w:szCs w:val="21"/>
              </w:rPr>
              <w:t>代办费、境外保险、餐费和个人消费</w:t>
            </w:r>
            <w:r>
              <w:rPr>
                <w:rFonts w:hint="eastAsia" w:ascii="Times New Roman" w:eastAsia="仿宋"/>
                <w:sz w:val="21"/>
                <w:szCs w:val="21"/>
                <w:lang w:eastAsia="zh-CN"/>
              </w:rPr>
              <w:t>。</w:t>
            </w:r>
          </w:p>
        </w:tc>
      </w:tr>
      <w:tr w14:paraId="05263726">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108" w:type="dxa"/>
            <w:bottom w:w="0" w:type="dxa"/>
            <w:right w:w="108" w:type="dxa"/>
          </w:tblCellMar>
        </w:tblPrEx>
        <w:trPr>
          <w:trHeight w:val="2395" w:hRule="atLeast"/>
          <w:jc w:val="center"/>
        </w:trPr>
        <w:tc>
          <w:tcPr>
            <w:tcW w:w="1480" w:type="dxa"/>
            <w:shd w:val="clear" w:color="auto" w:fill="F2F2F2"/>
            <w:tcMar>
              <w:top w:w="60" w:type="dxa"/>
              <w:left w:w="80" w:type="dxa"/>
              <w:bottom w:w="60" w:type="dxa"/>
              <w:right w:w="80" w:type="dxa"/>
            </w:tcMar>
            <w:vAlign w:val="center"/>
          </w:tcPr>
          <w:p w14:paraId="605157E6">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ascii="Times New Roman" w:hAnsi="Times New Roman" w:eastAsia="仿宋"/>
                <w:b/>
                <w:sz w:val="21"/>
                <w:szCs w:val="21"/>
              </w:rPr>
            </w:pPr>
            <w:r>
              <w:rPr>
                <w:rFonts w:ascii="Times New Roman" w:hAnsi="Times New Roman" w:eastAsia="仿宋"/>
                <w:b/>
                <w:sz w:val="21"/>
                <w:szCs w:val="21"/>
              </w:rPr>
              <w:t>4周项目费用</w:t>
            </w:r>
          </w:p>
        </w:tc>
        <w:tc>
          <w:tcPr>
            <w:tcW w:w="4322" w:type="dxa"/>
            <w:tcMar>
              <w:top w:w="60" w:type="dxa"/>
              <w:left w:w="80" w:type="dxa"/>
              <w:bottom w:w="60" w:type="dxa"/>
              <w:right w:w="80" w:type="dxa"/>
            </w:tcMar>
            <w:vAlign w:val="center"/>
          </w:tcPr>
          <w:p w14:paraId="5D0707AC">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ascii="Times New Roman" w:hAnsi="Times New Roman" w:eastAsia="仿宋"/>
                <w:b w:val="0"/>
                <w:bCs/>
                <w:sz w:val="21"/>
                <w:szCs w:val="21"/>
              </w:rPr>
            </w:pPr>
            <w:r>
              <w:rPr>
                <w:rFonts w:ascii="Times New Roman" w:hAnsi="Times New Roman" w:eastAsia="仿宋"/>
                <w:b w:val="0"/>
                <w:bCs/>
                <w:sz w:val="21"/>
                <w:szCs w:val="21"/>
              </w:rPr>
              <w:t>5,350英镑（折合人民币约4.92万元）</w:t>
            </w:r>
          </w:p>
          <w:p w14:paraId="39C229D3">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ascii="Times New Roman" w:hAnsi="Times New Roman" w:eastAsia="仿宋"/>
                <w:b w:val="0"/>
                <w:bCs/>
                <w:sz w:val="21"/>
                <w:szCs w:val="21"/>
              </w:rPr>
            </w:pPr>
            <w:r>
              <w:rPr>
                <w:rFonts w:ascii="Times New Roman" w:hAnsi="Times New Roman" w:eastAsia="仿宋"/>
                <w:b w:val="0"/>
                <w:bCs/>
                <w:sz w:val="21"/>
                <w:szCs w:val="21"/>
              </w:rPr>
              <w:t>人民币金额随汇率浮动</w:t>
            </w:r>
          </w:p>
        </w:tc>
        <w:tc>
          <w:tcPr>
            <w:tcW w:w="2664" w:type="dxa"/>
            <w:tcMar>
              <w:top w:w="60" w:type="dxa"/>
              <w:left w:w="80" w:type="dxa"/>
              <w:bottom w:w="60" w:type="dxa"/>
              <w:right w:w="80" w:type="dxa"/>
            </w:tcMar>
            <w:vAlign w:val="center"/>
          </w:tcPr>
          <w:p w14:paraId="08F7326D">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ascii="Times New Roman" w:hAnsi="Times New Roman" w:eastAsia="仿宋"/>
                <w:b w:val="0"/>
                <w:bCs/>
                <w:sz w:val="21"/>
                <w:szCs w:val="21"/>
              </w:rPr>
            </w:pPr>
            <w:r>
              <w:rPr>
                <w:rFonts w:hint="eastAsia" w:ascii="Times New Roman" w:hAnsi="Times New Roman" w:eastAsia="仿宋"/>
                <w:b w:val="0"/>
                <w:bCs/>
                <w:sz w:val="21"/>
                <w:szCs w:val="21"/>
                <w:lang w:val="en-US" w:eastAsia="zh-CN"/>
              </w:rPr>
              <w:t>项目费用</w:t>
            </w:r>
            <w:r>
              <w:rPr>
                <w:rFonts w:ascii="Times New Roman" w:hAnsi="Times New Roman" w:eastAsia="仿宋"/>
                <w:b w:val="0"/>
                <w:bCs/>
                <w:sz w:val="21"/>
                <w:szCs w:val="21"/>
              </w:rPr>
              <w:t>包含学费、活动课费用、项目管理服务费、住宿及统一接送机费用</w:t>
            </w:r>
            <w:r>
              <w:rPr>
                <w:rFonts w:hint="eastAsia" w:ascii="Times New Roman" w:hAnsi="Times New Roman" w:eastAsia="仿宋"/>
                <w:b w:val="0"/>
                <w:bCs/>
                <w:sz w:val="21"/>
                <w:szCs w:val="21"/>
                <w:lang w:eastAsia="zh-CN"/>
              </w:rPr>
              <w:t>；</w:t>
            </w:r>
            <w:r>
              <w:rPr>
                <w:rFonts w:hint="eastAsia" w:ascii="Times New Roman" w:hAnsi="Times New Roman" w:eastAsia="仿宋"/>
                <w:b w:val="0"/>
                <w:bCs/>
                <w:sz w:val="21"/>
                <w:szCs w:val="21"/>
                <w:lang w:val="en-US" w:eastAsia="zh-CN"/>
              </w:rPr>
              <w:t>不含</w:t>
            </w:r>
            <w:r>
              <w:rPr>
                <w:rFonts w:ascii="Times New Roman" w:eastAsia="仿宋"/>
                <w:sz w:val="21"/>
                <w:szCs w:val="21"/>
              </w:rPr>
              <w:t>国际往返机票、签证及</w:t>
            </w:r>
            <w:r>
              <w:rPr>
                <w:rFonts w:hint="eastAsia" w:ascii="Times New Roman" w:eastAsia="仿宋"/>
                <w:sz w:val="21"/>
                <w:szCs w:val="21"/>
                <w:lang w:val="en-US" w:eastAsia="zh-CN"/>
              </w:rPr>
              <w:t>第三方专业机构</w:t>
            </w:r>
            <w:r>
              <w:rPr>
                <w:rFonts w:ascii="Times New Roman" w:eastAsia="仿宋"/>
                <w:sz w:val="21"/>
                <w:szCs w:val="21"/>
              </w:rPr>
              <w:t>代办费、境外保险、餐费和个人消费</w:t>
            </w:r>
            <w:r>
              <w:rPr>
                <w:rFonts w:hint="eastAsia" w:ascii="Times New Roman" w:eastAsia="仿宋"/>
                <w:sz w:val="21"/>
                <w:szCs w:val="21"/>
                <w:lang w:eastAsia="zh-CN"/>
              </w:rPr>
              <w:t>。</w:t>
            </w:r>
          </w:p>
        </w:tc>
      </w:tr>
      <w:tr w14:paraId="4665FC1A">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108" w:type="dxa"/>
            <w:bottom w:w="0" w:type="dxa"/>
            <w:right w:w="108" w:type="dxa"/>
          </w:tblCellMar>
        </w:tblPrEx>
        <w:trPr>
          <w:trHeight w:val="0" w:hRule="atLeast"/>
          <w:tblHeader/>
          <w:jc w:val="center"/>
        </w:trPr>
        <w:tc>
          <w:tcPr>
            <w:tcW w:w="1480" w:type="dxa"/>
            <w:shd w:val="clear" w:color="auto" w:fill="D9EAF7"/>
            <w:tcMar>
              <w:top w:w="60" w:type="dxa"/>
              <w:left w:w="80" w:type="dxa"/>
              <w:bottom w:w="60" w:type="dxa"/>
              <w:right w:w="80" w:type="dxa"/>
            </w:tcMar>
            <w:vAlign w:val="center"/>
          </w:tcPr>
          <w:p w14:paraId="21E2D8AD">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ascii="Times New Roman" w:eastAsia="仿宋"/>
                <w:b/>
                <w:sz w:val="21"/>
              </w:rPr>
            </w:pPr>
            <w:r>
              <w:rPr>
                <w:rFonts w:ascii="Times New Roman" w:hAnsi="Times New Roman" w:eastAsia="仿宋"/>
                <w:b/>
                <w:sz w:val="21"/>
              </w:rPr>
              <w:t>类别</w:t>
            </w:r>
          </w:p>
        </w:tc>
        <w:tc>
          <w:tcPr>
            <w:tcW w:w="4322" w:type="dxa"/>
            <w:shd w:val="clear" w:color="auto" w:fill="D9EAF7"/>
            <w:tcMar>
              <w:top w:w="60" w:type="dxa"/>
              <w:left w:w="80" w:type="dxa"/>
              <w:bottom w:w="60" w:type="dxa"/>
              <w:right w:w="80" w:type="dxa"/>
            </w:tcMar>
            <w:vAlign w:val="center"/>
          </w:tcPr>
          <w:p w14:paraId="7B0370D3">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ascii="Times New Roman" w:eastAsia="仿宋"/>
                <w:b/>
                <w:sz w:val="21"/>
              </w:rPr>
            </w:pPr>
            <w:r>
              <w:rPr>
                <w:rFonts w:ascii="Times New Roman" w:hAnsi="Times New Roman" w:eastAsia="仿宋"/>
                <w:b/>
                <w:sz w:val="21"/>
              </w:rPr>
              <w:t>费用/内容</w:t>
            </w:r>
          </w:p>
        </w:tc>
        <w:tc>
          <w:tcPr>
            <w:tcW w:w="2664" w:type="dxa"/>
            <w:shd w:val="clear" w:color="auto" w:fill="D9EAF7"/>
            <w:tcMar>
              <w:top w:w="60" w:type="dxa"/>
              <w:left w:w="80" w:type="dxa"/>
              <w:bottom w:w="60" w:type="dxa"/>
              <w:right w:w="80" w:type="dxa"/>
            </w:tcMar>
            <w:vAlign w:val="center"/>
          </w:tcPr>
          <w:p w14:paraId="3C673DED">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ascii="Times New Roman" w:eastAsia="仿宋"/>
                <w:b/>
                <w:sz w:val="21"/>
              </w:rPr>
            </w:pPr>
            <w:r>
              <w:rPr>
                <w:rFonts w:ascii="Times New Roman" w:hAnsi="Times New Roman" w:eastAsia="仿宋"/>
                <w:b/>
                <w:sz w:val="21"/>
              </w:rPr>
              <w:t>说明</w:t>
            </w:r>
          </w:p>
        </w:tc>
      </w:tr>
      <w:tr w14:paraId="58AAFCBE">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108" w:type="dxa"/>
            <w:bottom w:w="0" w:type="dxa"/>
            <w:right w:w="108" w:type="dxa"/>
          </w:tblCellMar>
        </w:tblPrEx>
        <w:trPr>
          <w:trHeight w:val="0" w:hRule="atLeast"/>
          <w:jc w:val="center"/>
        </w:trPr>
        <w:tc>
          <w:tcPr>
            <w:tcW w:w="1480" w:type="dxa"/>
            <w:vMerge w:val="restart"/>
            <w:shd w:val="clear" w:color="auto" w:fill="F2F2F2"/>
            <w:tcMar>
              <w:top w:w="60" w:type="dxa"/>
              <w:left w:w="80" w:type="dxa"/>
              <w:bottom w:w="60" w:type="dxa"/>
              <w:right w:w="80" w:type="dxa"/>
            </w:tcMar>
            <w:vAlign w:val="center"/>
          </w:tcPr>
          <w:p w14:paraId="621A7900">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ascii="Times New Roman" w:hAnsi="Times New Roman" w:eastAsia="仿宋"/>
                <w:b/>
                <w:bCs w:val="0"/>
                <w:sz w:val="21"/>
                <w:szCs w:val="21"/>
              </w:rPr>
            </w:pPr>
            <w:r>
              <w:rPr>
                <w:rFonts w:ascii="Times New Roman" w:hAnsi="Times New Roman" w:eastAsia="仿宋"/>
                <w:b/>
                <w:bCs w:val="0"/>
                <w:sz w:val="21"/>
                <w:szCs w:val="21"/>
              </w:rPr>
              <w:t>预估自费</w:t>
            </w:r>
          </w:p>
        </w:tc>
        <w:tc>
          <w:tcPr>
            <w:tcW w:w="4322" w:type="dxa"/>
            <w:tcMar>
              <w:top w:w="60" w:type="dxa"/>
              <w:left w:w="80" w:type="dxa"/>
              <w:bottom w:w="60" w:type="dxa"/>
              <w:right w:w="80" w:type="dxa"/>
            </w:tcMar>
            <w:vAlign w:val="center"/>
          </w:tcPr>
          <w:p w14:paraId="2336DE26">
            <w:pPr>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ascii="Times New Roman" w:eastAsia="仿宋"/>
                <w:sz w:val="21"/>
                <w:szCs w:val="21"/>
              </w:rPr>
            </w:pPr>
            <w:r>
              <w:rPr>
                <w:rFonts w:hint="eastAsia" w:ascii="仿宋" w:hAnsi="仿宋" w:eastAsia="仿宋"/>
                <w:b w:val="0"/>
                <w:sz w:val="21"/>
                <w:szCs w:val="21"/>
                <w:lang w:val="en-US" w:eastAsia="zh-CN"/>
              </w:rPr>
              <w:t>国际往返机票</w:t>
            </w:r>
            <w:r>
              <w:rPr>
                <w:rFonts w:ascii="仿宋" w:hAnsi="仿宋" w:eastAsia="仿宋"/>
                <w:b w:val="0"/>
                <w:sz w:val="21"/>
                <w:szCs w:val="21"/>
              </w:rPr>
              <w:t>约9000元人民币</w:t>
            </w:r>
          </w:p>
        </w:tc>
        <w:tc>
          <w:tcPr>
            <w:tcW w:w="2664" w:type="dxa"/>
            <w:tcMar>
              <w:top w:w="60" w:type="dxa"/>
              <w:left w:w="80" w:type="dxa"/>
              <w:bottom w:w="60" w:type="dxa"/>
              <w:right w:w="80" w:type="dxa"/>
            </w:tcMar>
            <w:vAlign w:val="center"/>
          </w:tcPr>
          <w:p w14:paraId="04114309">
            <w:pPr>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ascii="Times New Roman" w:eastAsia="仿宋"/>
                <w:sz w:val="21"/>
                <w:szCs w:val="21"/>
              </w:rPr>
            </w:pPr>
            <w:r>
              <w:rPr>
                <w:rFonts w:ascii="仿宋" w:hAnsi="仿宋" w:eastAsia="仿宋"/>
                <w:b w:val="0"/>
                <w:sz w:val="21"/>
                <w:szCs w:val="21"/>
              </w:rPr>
              <w:t>往期参考，具体以航司官网为准</w:t>
            </w:r>
          </w:p>
        </w:tc>
      </w:tr>
      <w:tr w14:paraId="453E49D6">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108" w:type="dxa"/>
            <w:bottom w:w="0" w:type="dxa"/>
            <w:right w:w="108" w:type="dxa"/>
          </w:tblCellMar>
        </w:tblPrEx>
        <w:trPr>
          <w:trHeight w:val="0" w:hRule="atLeast"/>
          <w:jc w:val="center"/>
        </w:trPr>
        <w:tc>
          <w:tcPr>
            <w:tcW w:w="1480" w:type="dxa"/>
            <w:vMerge w:val="continue"/>
            <w:shd w:val="clear" w:color="auto" w:fill="F2F2F2"/>
            <w:tcMar>
              <w:top w:w="60" w:type="dxa"/>
              <w:left w:w="80" w:type="dxa"/>
              <w:bottom w:w="60" w:type="dxa"/>
              <w:right w:w="80" w:type="dxa"/>
            </w:tcMar>
            <w:vAlign w:val="center"/>
          </w:tcPr>
          <w:p w14:paraId="51BB53CE">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ascii="Times New Roman" w:eastAsia="仿宋"/>
                <w:b/>
                <w:bCs w:val="0"/>
                <w:sz w:val="21"/>
                <w:szCs w:val="21"/>
              </w:rPr>
            </w:pPr>
          </w:p>
        </w:tc>
        <w:tc>
          <w:tcPr>
            <w:tcW w:w="4322" w:type="dxa"/>
            <w:tcMar>
              <w:top w:w="60" w:type="dxa"/>
              <w:left w:w="80" w:type="dxa"/>
              <w:bottom w:w="60" w:type="dxa"/>
              <w:right w:w="80" w:type="dxa"/>
            </w:tcMar>
            <w:vAlign w:val="center"/>
          </w:tcPr>
          <w:p w14:paraId="7849D38A">
            <w:pPr>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ascii="Times New Roman" w:eastAsia="仿宋"/>
                <w:sz w:val="21"/>
                <w:szCs w:val="21"/>
              </w:rPr>
            </w:pPr>
            <w:r>
              <w:rPr>
                <w:rFonts w:ascii="Times New Roman" w:eastAsia="仿宋"/>
                <w:sz w:val="21"/>
                <w:szCs w:val="21"/>
              </w:rPr>
              <w:t>签证及</w:t>
            </w:r>
            <w:r>
              <w:rPr>
                <w:rFonts w:hint="eastAsia" w:ascii="Times New Roman" w:eastAsia="仿宋"/>
                <w:sz w:val="21"/>
                <w:szCs w:val="21"/>
                <w:lang w:val="en-US" w:eastAsia="zh-CN"/>
              </w:rPr>
              <w:t>第三方专业机构</w:t>
            </w:r>
            <w:r>
              <w:rPr>
                <w:rFonts w:ascii="Times New Roman" w:eastAsia="仿宋"/>
                <w:sz w:val="21"/>
                <w:szCs w:val="21"/>
              </w:rPr>
              <w:t>代办费</w:t>
            </w:r>
            <w:r>
              <w:rPr>
                <w:rFonts w:ascii="仿宋" w:hAnsi="仿宋" w:eastAsia="仿宋"/>
                <w:b w:val="0"/>
                <w:sz w:val="21"/>
                <w:szCs w:val="21"/>
              </w:rPr>
              <w:t>约1660元人民币</w:t>
            </w:r>
          </w:p>
        </w:tc>
        <w:tc>
          <w:tcPr>
            <w:tcW w:w="2664" w:type="dxa"/>
            <w:tcMar>
              <w:top w:w="60" w:type="dxa"/>
              <w:left w:w="80" w:type="dxa"/>
              <w:bottom w:w="60" w:type="dxa"/>
              <w:right w:w="80" w:type="dxa"/>
            </w:tcMar>
            <w:vAlign w:val="center"/>
          </w:tcPr>
          <w:p w14:paraId="67C8E5F3">
            <w:pPr>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eastAsia="仿宋"/>
                <w:sz w:val="21"/>
                <w:szCs w:val="21"/>
                <w:lang w:val="en-US" w:eastAsia="zh-CN"/>
              </w:rPr>
            </w:pPr>
            <w:r>
              <w:rPr>
                <w:rFonts w:ascii="仿宋" w:hAnsi="仿宋" w:eastAsia="仿宋"/>
                <w:b w:val="0"/>
                <w:sz w:val="21"/>
                <w:szCs w:val="21"/>
              </w:rPr>
              <w:t>不含预约加急等增值服务</w:t>
            </w:r>
          </w:p>
        </w:tc>
      </w:tr>
      <w:tr w14:paraId="65C472FE">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108" w:type="dxa"/>
            <w:bottom w:w="0" w:type="dxa"/>
            <w:right w:w="108" w:type="dxa"/>
          </w:tblCellMar>
        </w:tblPrEx>
        <w:trPr>
          <w:trHeight w:val="0" w:hRule="atLeast"/>
          <w:jc w:val="center"/>
        </w:trPr>
        <w:tc>
          <w:tcPr>
            <w:tcW w:w="1480" w:type="dxa"/>
            <w:vMerge w:val="continue"/>
            <w:shd w:val="clear" w:color="auto" w:fill="F2F2F2"/>
            <w:tcMar>
              <w:top w:w="60" w:type="dxa"/>
              <w:left w:w="80" w:type="dxa"/>
              <w:bottom w:w="60" w:type="dxa"/>
              <w:right w:w="80" w:type="dxa"/>
            </w:tcMar>
            <w:vAlign w:val="center"/>
          </w:tcPr>
          <w:p w14:paraId="486C895E">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ascii="Times New Roman" w:hAnsi="Times New Roman" w:eastAsia="仿宋"/>
                <w:b/>
                <w:bCs w:val="0"/>
                <w:sz w:val="21"/>
                <w:szCs w:val="21"/>
              </w:rPr>
            </w:pPr>
          </w:p>
        </w:tc>
        <w:tc>
          <w:tcPr>
            <w:tcW w:w="4322" w:type="dxa"/>
            <w:tcMar>
              <w:top w:w="60" w:type="dxa"/>
              <w:left w:w="80" w:type="dxa"/>
              <w:bottom w:w="60" w:type="dxa"/>
              <w:right w:w="80" w:type="dxa"/>
            </w:tcMar>
            <w:vAlign w:val="center"/>
          </w:tcPr>
          <w:p w14:paraId="2A97D71D">
            <w:pPr>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ascii="Times New Roman" w:hAnsi="Times New Roman" w:eastAsia="仿宋"/>
                <w:b w:val="0"/>
                <w:sz w:val="21"/>
                <w:szCs w:val="21"/>
              </w:rPr>
            </w:pPr>
            <w:r>
              <w:rPr>
                <w:rFonts w:hint="eastAsia" w:ascii="仿宋" w:hAnsi="仿宋" w:eastAsia="仿宋"/>
                <w:b w:val="0"/>
                <w:sz w:val="21"/>
                <w:szCs w:val="21"/>
                <w:lang w:val="en-US" w:eastAsia="zh-CN"/>
              </w:rPr>
              <w:t>境外保险费</w:t>
            </w:r>
            <w:r>
              <w:rPr>
                <w:rFonts w:ascii="仿宋" w:hAnsi="仿宋" w:eastAsia="仿宋"/>
                <w:b w:val="0"/>
                <w:sz w:val="21"/>
                <w:szCs w:val="21"/>
              </w:rPr>
              <w:t>约500元人民币</w:t>
            </w:r>
          </w:p>
        </w:tc>
        <w:tc>
          <w:tcPr>
            <w:tcW w:w="2664" w:type="dxa"/>
            <w:tcMar>
              <w:top w:w="60" w:type="dxa"/>
              <w:left w:w="80" w:type="dxa"/>
              <w:bottom w:w="60" w:type="dxa"/>
              <w:right w:w="80" w:type="dxa"/>
            </w:tcMar>
            <w:vAlign w:val="center"/>
          </w:tcPr>
          <w:p w14:paraId="5CC6DDA7">
            <w:pPr>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ascii="Times New Roman" w:hAnsi="Times New Roman" w:eastAsia="仿宋"/>
                <w:b w:val="0"/>
                <w:sz w:val="21"/>
                <w:szCs w:val="21"/>
              </w:rPr>
            </w:pPr>
            <w:r>
              <w:rPr>
                <w:rFonts w:ascii="仿宋" w:hAnsi="仿宋" w:eastAsia="仿宋"/>
                <w:b w:val="0"/>
                <w:sz w:val="21"/>
                <w:szCs w:val="21"/>
              </w:rPr>
              <w:t>参考费用</w:t>
            </w:r>
          </w:p>
        </w:tc>
      </w:tr>
      <w:tr w14:paraId="1034FBD8">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108" w:type="dxa"/>
            <w:bottom w:w="0" w:type="dxa"/>
            <w:right w:w="108" w:type="dxa"/>
          </w:tblCellMar>
        </w:tblPrEx>
        <w:trPr>
          <w:trHeight w:val="0" w:hRule="atLeast"/>
          <w:jc w:val="center"/>
        </w:trPr>
        <w:tc>
          <w:tcPr>
            <w:tcW w:w="1480" w:type="dxa"/>
            <w:vMerge w:val="continue"/>
            <w:shd w:val="clear" w:color="auto" w:fill="F2F2F2"/>
            <w:tcMar>
              <w:top w:w="60" w:type="dxa"/>
              <w:left w:w="80" w:type="dxa"/>
              <w:bottom w:w="60" w:type="dxa"/>
              <w:right w:w="80" w:type="dxa"/>
            </w:tcMar>
            <w:vAlign w:val="center"/>
          </w:tcPr>
          <w:p w14:paraId="064E49AB">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ascii="Times New Roman" w:hAnsi="Times New Roman" w:eastAsia="仿宋"/>
                <w:b/>
                <w:bCs w:val="0"/>
                <w:sz w:val="21"/>
                <w:szCs w:val="21"/>
              </w:rPr>
            </w:pPr>
          </w:p>
        </w:tc>
        <w:tc>
          <w:tcPr>
            <w:tcW w:w="4322" w:type="dxa"/>
            <w:tcMar>
              <w:top w:w="60" w:type="dxa"/>
              <w:left w:w="80" w:type="dxa"/>
              <w:bottom w:w="60" w:type="dxa"/>
              <w:right w:w="80" w:type="dxa"/>
            </w:tcMar>
            <w:vAlign w:val="center"/>
          </w:tcPr>
          <w:p w14:paraId="24D8DED0">
            <w:pPr>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ascii="Times New Roman" w:hAnsi="Times New Roman" w:eastAsia="仿宋"/>
                <w:b w:val="0"/>
                <w:sz w:val="21"/>
                <w:szCs w:val="21"/>
              </w:rPr>
            </w:pPr>
            <w:r>
              <w:rPr>
                <w:rFonts w:hint="eastAsia" w:ascii="仿宋" w:hAnsi="仿宋" w:eastAsia="仿宋"/>
                <w:b w:val="0"/>
                <w:sz w:val="21"/>
                <w:szCs w:val="21"/>
                <w:lang w:val="en-US" w:eastAsia="zh-CN"/>
              </w:rPr>
              <w:t>英国餐费</w:t>
            </w:r>
            <w:r>
              <w:rPr>
                <w:rFonts w:ascii="仿宋" w:hAnsi="仿宋" w:eastAsia="仿宋"/>
                <w:b w:val="0"/>
                <w:sz w:val="21"/>
                <w:szCs w:val="21"/>
              </w:rPr>
              <w:t>约8-15英镑/餐</w:t>
            </w:r>
          </w:p>
        </w:tc>
        <w:tc>
          <w:tcPr>
            <w:tcW w:w="2664" w:type="dxa"/>
            <w:tcMar>
              <w:top w:w="60" w:type="dxa"/>
              <w:left w:w="80" w:type="dxa"/>
              <w:bottom w:w="60" w:type="dxa"/>
              <w:right w:w="80" w:type="dxa"/>
            </w:tcMar>
            <w:vAlign w:val="center"/>
          </w:tcPr>
          <w:p w14:paraId="50C2D2DE">
            <w:pPr>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ascii="Times New Roman" w:hAnsi="Times New Roman" w:eastAsia="仿宋"/>
                <w:b w:val="0"/>
                <w:sz w:val="21"/>
                <w:szCs w:val="21"/>
              </w:rPr>
            </w:pPr>
            <w:r>
              <w:rPr>
                <w:rFonts w:ascii="仿宋" w:hAnsi="仿宋" w:eastAsia="仿宋"/>
                <w:b w:val="0"/>
                <w:sz w:val="21"/>
                <w:szCs w:val="21"/>
              </w:rPr>
              <w:t>以实际消费为准</w:t>
            </w:r>
          </w:p>
        </w:tc>
      </w:tr>
    </w:tbl>
    <w:p w14:paraId="3D826FE8">
      <w:pPr>
        <w:keepNext/>
        <w:keepLines w:val="0"/>
        <w:pageBreakBefore w:val="0"/>
        <w:widowControl/>
        <w:kinsoku/>
        <w:wordWrap/>
        <w:overflowPunct/>
        <w:topLinePunct w:val="0"/>
        <w:autoSpaceDE/>
        <w:autoSpaceDN/>
        <w:bidi w:val="0"/>
        <w:adjustRightInd/>
        <w:snapToGrid/>
        <w:spacing w:before="361" w:beforeLines="100" w:after="181" w:afterLines="50" w:line="440" w:lineRule="exact"/>
        <w:ind w:left="0" w:firstLine="0"/>
        <w:jc w:val="both"/>
        <w:textAlignment w:val="auto"/>
        <w:rPr>
          <w:rFonts w:hint="eastAsia" w:ascii="仿宋" w:hAnsi="仿宋" w:eastAsia="仿宋" w:cs="仿宋"/>
          <w:b/>
          <w:sz w:val="28"/>
        </w:rPr>
      </w:pPr>
      <w:r>
        <w:rPr>
          <w:rFonts w:hint="eastAsia" w:ascii="仿宋" w:hAnsi="仿宋" w:eastAsia="仿宋" w:cs="仿宋"/>
          <w:b/>
          <w:sz w:val="28"/>
        </w:rPr>
        <w:t>五、申请对象与基本要求</w:t>
      </w:r>
    </w:p>
    <w:p w14:paraId="18EC463E">
      <w:pPr>
        <w:pStyle w:val="168"/>
        <w:keepNext w:val="0"/>
        <w:keepLines w:val="0"/>
        <w:pageBreakBefore w:val="0"/>
        <w:widowControl/>
        <w:numPr>
          <w:ilvl w:val="0"/>
          <w:numId w:val="14"/>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仿宋" w:hAnsi="仿宋" w:eastAsia="仿宋" w:cs="仿宋"/>
          <w:b w:val="0"/>
          <w:sz w:val="24"/>
          <w:lang w:val="en-US" w:eastAsia="zh-CN"/>
        </w:rPr>
      </w:pPr>
      <w:r>
        <w:rPr>
          <w:rFonts w:hint="eastAsia" w:ascii="仿宋" w:hAnsi="仿宋" w:eastAsia="仿宋" w:cs="仿宋"/>
          <w:b w:val="0"/>
          <w:sz w:val="24"/>
          <w:lang w:val="en-US" w:eastAsia="zh-CN"/>
        </w:rPr>
        <w:t>全日制本科生、研究生，须年满18周岁；</w:t>
      </w:r>
    </w:p>
    <w:p w14:paraId="1BA67D9F">
      <w:pPr>
        <w:pStyle w:val="168"/>
        <w:keepNext w:val="0"/>
        <w:keepLines w:val="0"/>
        <w:pageBreakBefore w:val="0"/>
        <w:widowControl/>
        <w:numPr>
          <w:ilvl w:val="0"/>
          <w:numId w:val="14"/>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Times New Roman" w:hAnsi="Times New Roman" w:eastAsia="仿宋" w:cs="Times New Roman"/>
          <w:sz w:val="24"/>
          <w:szCs w:val="28"/>
          <w:lang w:eastAsia="zh-CN"/>
        </w:rPr>
      </w:pPr>
      <w:r>
        <w:rPr>
          <w:rFonts w:hint="eastAsia" w:ascii="仿宋" w:hAnsi="仿宋" w:eastAsia="仿宋" w:cs="仿宋"/>
          <w:b w:val="0"/>
          <w:sz w:val="24"/>
          <w:lang w:val="en-US" w:eastAsia="zh-CN"/>
        </w:rPr>
        <w:t>专业要求：前三周课程专业不限，第四周课程</w:t>
      </w:r>
      <w:r>
        <w:rPr>
          <w:rFonts w:hint="default" w:ascii="Times New Roman" w:hAnsi="Times New Roman" w:eastAsia="仿宋" w:cs="Times New Roman"/>
          <w:sz w:val="24"/>
          <w:szCs w:val="28"/>
          <w:lang w:eastAsia="zh-CN"/>
        </w:rPr>
        <w:t>教育、英语、师范、教育技术、语言学等专业背景优先</w:t>
      </w:r>
      <w:r>
        <w:rPr>
          <w:rFonts w:hint="eastAsia" w:ascii="Times New Roman" w:hAnsi="Times New Roman" w:eastAsia="仿宋" w:cs="Times New Roman"/>
          <w:sz w:val="24"/>
          <w:szCs w:val="28"/>
          <w:lang w:eastAsia="zh-CN"/>
        </w:rPr>
        <w:t>；</w:t>
      </w:r>
    </w:p>
    <w:p w14:paraId="36678260">
      <w:pPr>
        <w:pStyle w:val="168"/>
        <w:keepNext w:val="0"/>
        <w:keepLines w:val="0"/>
        <w:pageBreakBefore w:val="0"/>
        <w:widowControl/>
        <w:numPr>
          <w:ilvl w:val="0"/>
          <w:numId w:val="14"/>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仿宋" w:hAnsi="仿宋" w:eastAsia="仿宋" w:cs="仿宋"/>
          <w:b w:val="0"/>
          <w:sz w:val="24"/>
          <w:lang w:val="en-US" w:eastAsia="zh-CN"/>
        </w:rPr>
      </w:pPr>
      <w:r>
        <w:rPr>
          <w:rFonts w:hint="eastAsia" w:ascii="仿宋" w:hAnsi="仿宋" w:eastAsia="仿宋" w:cs="仿宋"/>
          <w:b w:val="0"/>
          <w:sz w:val="24"/>
          <w:lang w:val="en-US" w:eastAsia="zh-CN"/>
        </w:rPr>
        <w:t>英语能力要求：</w:t>
      </w:r>
      <w:r>
        <w:rPr>
          <w:rFonts w:hint="eastAsia" w:ascii="仿宋" w:hAnsi="仿宋" w:eastAsia="仿宋" w:cs="仿宋"/>
          <w:b/>
          <w:bCs/>
          <w:sz w:val="24"/>
          <w:lang w:val="en-US" w:eastAsia="zh-CN"/>
        </w:rPr>
        <w:t>须通过项目方中英文线上面试</w:t>
      </w:r>
      <w:r>
        <w:rPr>
          <w:rFonts w:hint="eastAsia" w:ascii="仿宋" w:hAnsi="仿宋" w:eastAsia="仿宋" w:cs="仿宋"/>
          <w:b w:val="0"/>
          <w:sz w:val="24"/>
          <w:lang w:val="en-US" w:eastAsia="zh-CN"/>
        </w:rPr>
        <w:t>，熟练掌握英语听、说、读；</w:t>
      </w:r>
    </w:p>
    <w:p w14:paraId="4D4CF582">
      <w:pPr>
        <w:pStyle w:val="168"/>
        <w:keepNext w:val="0"/>
        <w:keepLines w:val="0"/>
        <w:pageBreakBefore w:val="0"/>
        <w:widowControl/>
        <w:numPr>
          <w:ilvl w:val="0"/>
          <w:numId w:val="14"/>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仿宋" w:hAnsi="仿宋" w:eastAsia="仿宋" w:cs="仿宋"/>
          <w:b w:val="0"/>
          <w:sz w:val="24"/>
          <w:lang w:val="en-US" w:eastAsia="zh-CN"/>
        </w:rPr>
      </w:pPr>
      <w:r>
        <w:rPr>
          <w:rFonts w:hint="eastAsia" w:ascii="仿宋" w:hAnsi="仿宋" w:eastAsia="仿宋" w:cs="仿宋"/>
          <w:b w:val="0"/>
          <w:sz w:val="24"/>
          <w:lang w:val="en-US" w:eastAsia="zh-CN"/>
        </w:rPr>
        <w:t>身心健康，无重大疾病或不适宜出国交流的健康状况；</w:t>
      </w:r>
    </w:p>
    <w:p w14:paraId="133E5501">
      <w:pPr>
        <w:pStyle w:val="168"/>
        <w:keepNext w:val="0"/>
        <w:keepLines w:val="0"/>
        <w:pageBreakBefore w:val="0"/>
        <w:widowControl/>
        <w:numPr>
          <w:ilvl w:val="0"/>
          <w:numId w:val="14"/>
        </w:numPr>
        <w:kinsoku/>
        <w:wordWrap/>
        <w:overflowPunct/>
        <w:topLinePunct w:val="0"/>
        <w:autoSpaceDE/>
        <w:autoSpaceDN/>
        <w:bidi w:val="0"/>
        <w:adjustRightInd/>
        <w:snapToGrid/>
        <w:spacing w:after="0" w:line="440" w:lineRule="exact"/>
        <w:ind w:left="425" w:leftChars="0" w:hanging="425" w:firstLineChars="0"/>
        <w:jc w:val="both"/>
        <w:textAlignment w:val="auto"/>
        <w:rPr>
          <w:rFonts w:hint="eastAsia" w:ascii="仿宋" w:hAnsi="仿宋" w:eastAsia="仿宋" w:cs="仿宋"/>
          <w:b w:val="0"/>
          <w:sz w:val="24"/>
          <w:lang w:val="en-US" w:eastAsia="zh-CN"/>
        </w:rPr>
      </w:pPr>
      <w:r>
        <w:rPr>
          <w:rFonts w:hint="eastAsia" w:ascii="仿宋" w:hAnsi="仿宋" w:eastAsia="仿宋" w:cs="仿宋"/>
          <w:b w:val="0"/>
          <w:sz w:val="24"/>
          <w:lang w:val="en-US" w:eastAsia="zh-CN"/>
        </w:rPr>
        <w:t>遵纪守法，自觉维护国家形象和学校名誉。</w:t>
      </w:r>
    </w:p>
    <w:p w14:paraId="6EBAC7C9">
      <w:pPr>
        <w:keepNext/>
        <w:keepLines w:val="0"/>
        <w:pageBreakBefore w:val="0"/>
        <w:widowControl/>
        <w:kinsoku/>
        <w:wordWrap/>
        <w:overflowPunct/>
        <w:topLinePunct w:val="0"/>
        <w:autoSpaceDE/>
        <w:autoSpaceDN/>
        <w:bidi w:val="0"/>
        <w:adjustRightInd/>
        <w:snapToGrid/>
        <w:spacing w:before="361" w:beforeLines="100" w:after="181" w:afterLines="50" w:line="440" w:lineRule="exact"/>
        <w:ind w:left="0" w:firstLine="0"/>
        <w:jc w:val="both"/>
        <w:textAlignment w:val="auto"/>
        <w:rPr>
          <w:rFonts w:hint="eastAsia" w:ascii="仿宋" w:hAnsi="仿宋" w:eastAsia="仿宋" w:cs="仿宋"/>
          <w:b/>
          <w:sz w:val="28"/>
        </w:rPr>
      </w:pPr>
      <w:r>
        <w:rPr>
          <w:rFonts w:hint="eastAsia" w:ascii="仿宋" w:hAnsi="仿宋" w:eastAsia="仿宋" w:cs="仿宋"/>
          <w:b/>
          <w:sz w:val="28"/>
        </w:rPr>
        <w:t>六、报名与咨询</w:t>
      </w:r>
    </w:p>
    <w:p w14:paraId="5C63D621">
      <w:pPr>
        <w:keepNext w:val="0"/>
        <w:keepLines w:val="0"/>
        <w:pageBreakBefore w:val="0"/>
        <w:widowControl/>
        <w:numPr>
          <w:ilvl w:val="0"/>
          <w:numId w:val="15"/>
        </w:numPr>
        <w:kinsoku/>
        <w:wordWrap/>
        <w:overflowPunct/>
        <w:topLinePunct w:val="0"/>
        <w:autoSpaceDE/>
        <w:autoSpaceDN/>
        <w:bidi w:val="0"/>
        <w:adjustRightInd/>
        <w:snapToGrid/>
        <w:spacing w:before="0" w:after="0" w:line="440" w:lineRule="exact"/>
        <w:ind w:left="425" w:leftChars="0" w:hanging="425" w:firstLineChars="0"/>
        <w:jc w:val="both"/>
        <w:textAlignment w:val="auto"/>
        <w:rPr>
          <w:rFonts w:hint="default" w:ascii="Times New Roman" w:hAnsi="Times New Roman" w:eastAsia="仿宋" w:cs="Times New Roman"/>
          <w:sz w:val="24"/>
          <w:szCs w:val="28"/>
          <w:lang w:val="en-US" w:eastAsia="zh-CN"/>
        </w:rPr>
      </w:pPr>
      <w:r>
        <w:rPr>
          <w:rFonts w:hint="default" w:ascii="Times New Roman" w:hAnsi="Times New Roman" w:eastAsia="仿宋" w:cs="Times New Roman"/>
          <w:sz w:val="24"/>
          <w:szCs w:val="28"/>
          <w:lang w:val="en-US" w:eastAsia="zh-CN"/>
        </w:rPr>
        <w:t>校内报名：按学校要求填写校内报名表，学校统一收集报名或学生添加咨询后获得报名表。</w:t>
      </w:r>
    </w:p>
    <w:p w14:paraId="5F784761">
      <w:pPr>
        <w:keepNext w:val="0"/>
        <w:keepLines w:val="0"/>
        <w:pageBreakBefore w:val="0"/>
        <w:widowControl/>
        <w:numPr>
          <w:ilvl w:val="0"/>
          <w:numId w:val="15"/>
        </w:numPr>
        <w:kinsoku/>
        <w:wordWrap/>
        <w:overflowPunct/>
        <w:topLinePunct w:val="0"/>
        <w:autoSpaceDE/>
        <w:autoSpaceDN/>
        <w:bidi w:val="0"/>
        <w:adjustRightInd/>
        <w:snapToGrid/>
        <w:spacing w:before="0" w:after="0" w:line="440" w:lineRule="exact"/>
        <w:ind w:left="425" w:leftChars="0" w:hanging="425" w:firstLineChars="0"/>
        <w:jc w:val="both"/>
        <w:textAlignment w:val="auto"/>
        <w:rPr>
          <w:rFonts w:hint="default" w:ascii="Times New Roman" w:hAnsi="Times New Roman" w:eastAsia="仿宋" w:cs="Times New Roman"/>
          <w:sz w:val="24"/>
          <w:szCs w:val="28"/>
          <w:lang w:eastAsia="zh-CN"/>
        </w:rPr>
      </w:pPr>
      <w:r>
        <w:rPr>
          <w:rFonts w:hint="eastAsia" w:ascii="Times New Roman" w:hAnsi="Times New Roman" w:eastAsia="仿宋" w:cs="Times New Roman"/>
          <w:sz w:val="24"/>
          <w:szCs w:val="28"/>
          <w:lang w:val="en-US" w:eastAsia="zh-CN"/>
        </w:rPr>
        <w:t>项目报名：</w:t>
      </w:r>
      <w:r>
        <w:rPr>
          <w:rFonts w:hint="default" w:ascii="Times New Roman" w:hAnsi="Times New Roman" w:eastAsia="仿宋" w:cs="Times New Roman"/>
          <w:sz w:val="24"/>
          <w:szCs w:val="28"/>
        </w:rPr>
        <w:t>打开链接</w:t>
      </w:r>
      <w:r>
        <w:rPr>
          <w:rFonts w:hint="eastAsia" w:ascii="Times New Roman" w:hAnsi="Times New Roman" w:eastAsia="仿宋" w:cs="Times New Roman"/>
          <w:sz w:val="24"/>
          <w:szCs w:val="28"/>
          <w:lang w:val="en-US" w:eastAsia="zh-CN"/>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"https://jsj.top/f/mYKLzE" </w:instrText>
      </w:r>
      <w:r>
        <w:rPr>
          <w:rFonts w:hint="default" w:ascii="Times New Roman" w:hAnsi="Times New Roman" w:cs="Times New Roman"/>
        </w:rPr>
        <w:fldChar w:fldCharType="separate"/>
      </w:r>
      <w:r>
        <w:rPr>
          <w:rStyle w:val="136"/>
          <w:rFonts w:hint="default" w:ascii="Times New Roman" w:hAnsi="Times New Roman" w:cs="Times New Roman"/>
        </w:rPr>
        <w:t>https://jsj.top/f/mYKLzE</w:t>
      </w:r>
      <w:r>
        <w:rPr>
          <w:rFonts w:hint="default" w:ascii="Times New Roman" w:hAnsi="Times New Roman" w:cs="Times New Roman"/>
        </w:rPr>
        <w:fldChar w:fldCharType="end"/>
      </w:r>
      <w:r>
        <w:rPr>
          <w:rFonts w:hint="default" w:ascii="Times New Roman" w:hAnsi="Times New Roman" w:eastAsia="仿宋" w:cs="Times New Roman"/>
          <w:sz w:val="24"/>
          <w:szCs w:val="28"/>
          <w:lang w:eastAsia="zh-CN"/>
        </w:rPr>
        <w:t>，填写项目主办方报名表。</w:t>
      </w:r>
    </w:p>
    <w:p w14:paraId="24574BC0">
      <w:pPr>
        <w:keepNext w:val="0"/>
        <w:keepLines w:val="0"/>
        <w:pageBreakBefore w:val="0"/>
        <w:widowControl/>
        <w:numPr>
          <w:ilvl w:val="0"/>
          <w:numId w:val="15"/>
        </w:numPr>
        <w:kinsoku/>
        <w:wordWrap/>
        <w:overflowPunct/>
        <w:topLinePunct w:val="0"/>
        <w:autoSpaceDE/>
        <w:autoSpaceDN/>
        <w:bidi w:val="0"/>
        <w:adjustRightInd/>
        <w:snapToGrid/>
        <w:spacing w:before="0" w:after="0" w:line="440" w:lineRule="exact"/>
        <w:ind w:left="425" w:leftChars="0" w:hanging="425" w:firstLineChars="0"/>
        <w:jc w:val="both"/>
        <w:textAlignment w:val="auto"/>
        <w:rPr>
          <w:rFonts w:hint="default" w:ascii="Times New Roman" w:hAnsi="Times New Roman" w:cs="Times New Roman"/>
          <w:lang w:eastAsia="zh-CN"/>
        </w:rPr>
      </w:pPr>
      <w:r>
        <w:rPr>
          <w:rFonts w:hint="eastAsia" w:ascii="Times New Roman" w:hAnsi="Times New Roman" w:eastAsia="仿宋" w:cs="Times New Roman"/>
          <w:sz w:val="24"/>
          <w:szCs w:val="28"/>
          <w:lang w:val="en-US" w:eastAsia="zh-CN"/>
        </w:rPr>
        <w:t>线上面试：打开</w:t>
      </w:r>
      <w:r>
        <w:rPr>
          <w:rFonts w:hint="default" w:ascii="Times New Roman" w:hAnsi="Times New Roman" w:eastAsia="仿宋" w:cs="Times New Roman"/>
          <w:sz w:val="24"/>
          <w:szCs w:val="28"/>
          <w:lang w:eastAsia="zh-CN"/>
        </w:rPr>
        <w:t>链接</w:t>
      </w:r>
      <w:r>
        <w:rPr>
          <w:rFonts w:hint="eastAsia" w:ascii="Times New Roman" w:hAnsi="Times New Roman" w:eastAsia="仿宋" w:cs="Times New Roman"/>
          <w:sz w:val="24"/>
          <w:szCs w:val="28"/>
          <w:lang w:val="en-US" w:eastAsia="zh-CN"/>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"https://jsj.top/f/OcRrnn" </w:instrText>
      </w:r>
      <w:r>
        <w:rPr>
          <w:rFonts w:hint="default" w:ascii="Times New Roman" w:hAnsi="Times New Roman" w:cs="Times New Roman"/>
        </w:rPr>
        <w:fldChar w:fldCharType="separate"/>
      </w:r>
      <w:r>
        <w:rPr>
          <w:rStyle w:val="138"/>
          <w:rFonts w:hint="default" w:ascii="Times New Roman" w:hAnsi="Times New Roman" w:cs="Times New Roman"/>
        </w:rPr>
        <w:t>https://jsj.top/f/OcRrnn</w:t>
      </w:r>
      <w:r>
        <w:rPr>
          <w:rFonts w:hint="default" w:ascii="Times New Roman" w:hAnsi="Times New Roman" w:cs="Times New Roman"/>
        </w:rPr>
        <w:fldChar w:fldCharType="end"/>
      </w:r>
      <w:r>
        <w:rPr>
          <w:rFonts w:hint="default" w:ascii="Times New Roman" w:hAnsi="Times New Roman" w:eastAsia="仿宋" w:cs="Times New Roman"/>
          <w:sz w:val="24"/>
          <w:szCs w:val="28"/>
          <w:lang w:eastAsia="zh-CN"/>
        </w:rPr>
        <w:t>，所有报名学生均需预约参加线上面试。</w:t>
      </w:r>
    </w:p>
    <w:p w14:paraId="4401D3B9">
      <w:pPr>
        <w:keepNext w:val="0"/>
        <w:keepLines w:val="0"/>
        <w:pageBreakBefore w:val="0"/>
        <w:widowControl/>
        <w:numPr>
          <w:ilvl w:val="0"/>
          <w:numId w:val="0"/>
        </w:numPr>
        <w:kinsoku/>
        <w:wordWrap/>
        <w:overflowPunct/>
        <w:topLinePunct w:val="0"/>
        <w:autoSpaceDE/>
        <w:autoSpaceDN/>
        <w:bidi w:val="0"/>
        <w:adjustRightInd/>
        <w:snapToGrid/>
        <w:spacing w:before="0" w:after="0" w:line="440" w:lineRule="exact"/>
        <w:ind w:leftChars="0"/>
        <w:jc w:val="both"/>
        <w:textAlignment w:val="auto"/>
        <w:rPr>
          <w:rFonts w:hint="default" w:ascii="Times New Roman" w:hAnsi="Times New Roman" w:eastAsia="仿宋" w:cs="Times New Roman"/>
          <w:sz w:val="24"/>
          <w:szCs w:val="28"/>
          <w:lang w:eastAsia="zh-CN"/>
        </w:rPr>
      </w:pPr>
      <w:r>
        <w:rPr>
          <w:rFonts w:hint="default" w:ascii="Times New Roman" w:hAnsi="Times New Roman" w:eastAsia="仿宋" w:cs="Times New Roman"/>
          <w:sz w:val="24"/>
          <w:szCs w:val="28"/>
          <w:lang w:eastAsia="zh-CN"/>
        </w:rPr>
        <w:t>通过面试并确认参加项目，填写UCL线上申请表格，由UCL语言与国际教育中心Admission Team审核通过后，再根据英语水平分班。</w:t>
      </w:r>
    </w:p>
    <w:p w14:paraId="55056CFC">
      <w:pPr>
        <w:keepNext w:val="0"/>
        <w:keepLines w:val="0"/>
        <w:pageBreakBefore w:val="0"/>
        <w:widowControl/>
        <w:numPr>
          <w:ilvl w:val="0"/>
          <w:numId w:val="15"/>
        </w:numPr>
        <w:kinsoku/>
        <w:wordWrap/>
        <w:overflowPunct/>
        <w:topLinePunct w:val="0"/>
        <w:autoSpaceDE/>
        <w:autoSpaceDN/>
        <w:bidi w:val="0"/>
        <w:adjustRightInd/>
        <w:snapToGrid/>
        <w:spacing w:before="0" w:after="0" w:line="440" w:lineRule="exact"/>
        <w:ind w:left="425" w:leftChars="0" w:hanging="425" w:firstLineChars="0"/>
        <w:jc w:val="both"/>
        <w:textAlignment w:val="auto"/>
        <w:rPr>
          <w:rFonts w:hint="default" w:ascii="Times New Roman" w:hAnsi="Times New Roman" w:cs="Times New Roman"/>
          <w:highlight w:val="none"/>
          <w:lang w:eastAsia="zh-CN"/>
        </w:rPr>
      </w:pPr>
      <w:r>
        <w:rPr>
          <w:rFonts w:hint="default" w:ascii="Times New Roman" w:hAnsi="Times New Roman" w:eastAsia="仿宋" w:cs="Times New Roman"/>
          <w:sz w:val="24"/>
          <w:szCs w:val="28"/>
          <w:highlight w:val="none"/>
          <w:lang w:eastAsia="zh-CN"/>
        </w:rPr>
        <w:t>报名截止时间：2026年</w:t>
      </w:r>
      <w:r>
        <w:rPr>
          <w:rFonts w:hint="eastAsia" w:ascii="Times New Roman" w:hAnsi="Times New Roman" w:eastAsia="仿宋" w:cs="Times New Roman"/>
          <w:sz w:val="24"/>
          <w:szCs w:val="28"/>
          <w:highlight w:val="none"/>
          <w:lang w:val="en-US" w:eastAsia="zh-CN"/>
        </w:rPr>
        <w:t>10</w:t>
      </w:r>
      <w:r>
        <w:rPr>
          <w:rFonts w:hint="default" w:ascii="Times New Roman" w:hAnsi="Times New Roman" w:eastAsia="仿宋" w:cs="Times New Roman"/>
          <w:sz w:val="24"/>
          <w:szCs w:val="28"/>
          <w:highlight w:val="none"/>
          <w:lang w:eastAsia="zh-CN"/>
        </w:rPr>
        <w:t>月</w:t>
      </w:r>
      <w:r>
        <w:rPr>
          <w:rFonts w:hint="eastAsia" w:ascii="Times New Roman" w:hAnsi="Times New Roman" w:eastAsia="仿宋" w:cs="Times New Roman"/>
          <w:sz w:val="24"/>
          <w:szCs w:val="28"/>
          <w:highlight w:val="none"/>
          <w:lang w:val="en-US" w:eastAsia="zh-CN"/>
        </w:rPr>
        <w:t>31</w:t>
      </w:r>
      <w:r>
        <w:rPr>
          <w:rFonts w:hint="default" w:ascii="Times New Roman" w:hAnsi="Times New Roman" w:eastAsia="仿宋" w:cs="Times New Roman"/>
          <w:sz w:val="24"/>
          <w:szCs w:val="28"/>
          <w:highlight w:val="none"/>
          <w:lang w:eastAsia="zh-CN"/>
        </w:rPr>
        <w:t>日</w:t>
      </w:r>
    </w:p>
    <w:p w14:paraId="0B0A502E">
      <w:pPr>
        <w:keepNext w:val="0"/>
        <w:keepLines w:val="0"/>
        <w:pageBreakBefore w:val="0"/>
        <w:widowControl/>
        <w:numPr>
          <w:ilvl w:val="0"/>
          <w:numId w:val="15"/>
        </w:numPr>
        <w:kinsoku/>
        <w:wordWrap/>
        <w:overflowPunct/>
        <w:topLinePunct w:val="0"/>
        <w:autoSpaceDE/>
        <w:autoSpaceDN/>
        <w:bidi w:val="0"/>
        <w:adjustRightInd/>
        <w:snapToGrid/>
        <w:spacing w:after="0" w:line="440" w:lineRule="exact"/>
        <w:ind w:left="425" w:leftChars="0" w:hanging="425" w:firstLineChars="0"/>
        <w:textAlignment w:val="auto"/>
        <w:rPr>
          <w:rFonts w:hint="eastAsia"/>
        </w:rPr>
      </w:pPr>
      <w:r>
        <w:rPr>
          <w:rFonts w:hint="eastAsia" w:ascii="仿宋" w:hAnsi="仿宋" w:eastAsia="仿宋" w:cs="仿宋"/>
          <w:sz w:val="24"/>
          <w:szCs w:val="28"/>
          <w:highlight w:val="yellow"/>
          <w:lang w:val="en-US" w:eastAsia="zh-CN"/>
        </w:rPr>
        <w:t>合作院校相关部门联系方式：</w:t>
      </w:r>
    </w:p>
    <w:p w14:paraId="100576E1">
      <w:pPr>
        <w:keepNext w:val="0"/>
        <w:keepLines w:val="0"/>
        <w:pageBreakBefore w:val="0"/>
        <w:widowControl/>
        <w:numPr>
          <w:ilvl w:val="0"/>
          <w:numId w:val="0"/>
        </w:numPr>
        <w:kinsoku/>
        <w:wordWrap/>
        <w:overflowPunct/>
        <w:topLinePunct w:val="0"/>
        <w:autoSpaceDE/>
        <w:autoSpaceDN/>
        <w:bidi w:val="0"/>
        <w:adjustRightInd/>
        <w:snapToGrid/>
        <w:spacing w:before="0" w:after="0" w:line="440" w:lineRule="exact"/>
        <w:ind w:leftChars="0"/>
        <w:jc w:val="both"/>
        <w:textAlignment w:val="auto"/>
        <w:rPr>
          <w:rFonts w:hint="default" w:ascii="Times New Roman" w:hAnsi="Times New Roman" w:eastAsia="仿宋" w:cs="Times New Roman"/>
          <w:sz w:val="24"/>
          <w:szCs w:val="28"/>
          <w:highlight w:val="none"/>
          <w:lang w:val="en-US" w:eastAsia="zh-CN"/>
        </w:rPr>
      </w:pPr>
      <w:r>
        <w:rPr>
          <w:rFonts w:hint="eastAsia" w:ascii="Times New Roman" w:hAnsi="Times New Roman" w:eastAsia="仿宋" w:cs="Times New Roman"/>
          <w:sz w:val="24"/>
          <w:szCs w:val="28"/>
          <w:highlight w:val="none"/>
          <w:lang w:eastAsia="zh-CN"/>
        </w:rPr>
        <w:t>咨询</w:t>
      </w:r>
      <w:r>
        <w:rPr>
          <w:rFonts w:hint="eastAsia" w:ascii="Times New Roman" w:hAnsi="Times New Roman" w:eastAsia="仿宋" w:cs="Times New Roman"/>
          <w:sz w:val="24"/>
          <w:szCs w:val="28"/>
          <w:highlight w:val="none"/>
          <w:lang w:val="en-US" w:eastAsia="zh-CN"/>
        </w:rPr>
        <w:t>老师</w:t>
      </w:r>
      <w:r>
        <w:rPr>
          <w:rFonts w:hint="eastAsia" w:ascii="Times New Roman" w:hAnsi="Times New Roman" w:eastAsia="仿宋" w:cs="Times New Roman"/>
          <w:sz w:val="24"/>
          <w:szCs w:val="28"/>
          <w:highlight w:val="none"/>
          <w:lang w:eastAsia="zh-CN"/>
        </w:rPr>
        <w:t>手机/微信（</w:t>
      </w:r>
      <w:r>
        <w:rPr>
          <w:rFonts w:hint="eastAsia" w:ascii="Times New Roman" w:hAnsi="Times New Roman" w:eastAsia="仿宋" w:cs="Times New Roman"/>
          <w:sz w:val="24"/>
          <w:szCs w:val="28"/>
          <w:highlight w:val="none"/>
          <w:lang w:val="en-US" w:eastAsia="zh-CN"/>
        </w:rPr>
        <w:t>Hetty</w:t>
      </w:r>
      <w:r>
        <w:rPr>
          <w:rFonts w:hint="eastAsia" w:ascii="Times New Roman" w:hAnsi="Times New Roman" w:eastAsia="仿宋" w:cs="Times New Roman"/>
          <w:sz w:val="24"/>
          <w:szCs w:val="28"/>
          <w:highlight w:val="none"/>
          <w:lang w:eastAsia="zh-CN"/>
        </w:rPr>
        <w:t>老师）：13189095239</w:t>
      </w:r>
    </w:p>
    <w:p w14:paraId="013C7A5C">
      <w:pPr>
        <w:pStyle w:val="21"/>
        <w:keepNext w:val="0"/>
        <w:keepLines w:val="0"/>
        <w:pageBreakBefore w:val="0"/>
        <w:widowControl/>
        <w:numPr>
          <w:ilvl w:val="0"/>
          <w:numId w:val="0"/>
        </w:numPr>
        <w:kinsoku/>
        <w:wordWrap/>
        <w:overflowPunct/>
        <w:topLinePunct w:val="0"/>
        <w:autoSpaceDE/>
        <w:autoSpaceDN/>
        <w:bidi w:val="0"/>
        <w:adjustRightInd/>
        <w:snapToGrid/>
        <w:spacing w:after="0" w:line="440" w:lineRule="exact"/>
        <w:ind w:leftChars="0"/>
        <w:textAlignment w:val="auto"/>
        <w:rPr>
          <w:rFonts w:hint="eastAsia" w:ascii="仿宋" w:hAnsi="仿宋" w:eastAsia="仿宋" w:cs="仿宋"/>
          <w:sz w:val="24"/>
          <w:szCs w:val="28"/>
        </w:rPr>
      </w:pPr>
      <w:r>
        <w:rPr>
          <w:rFonts w:hint="eastAsia" w:ascii="仿宋" w:hAnsi="仿宋" w:eastAsia="仿宋" w:cs="仿宋"/>
          <w:sz w:val="24"/>
          <w:szCs w:val="28"/>
        </w:rPr>
        <w:t>访项目部电话：020-82002936</w:t>
      </w:r>
    </w:p>
    <w:p w14:paraId="706CF509">
      <w:pPr>
        <w:pStyle w:val="21"/>
        <w:keepNext w:val="0"/>
        <w:keepLines w:val="0"/>
        <w:pageBreakBefore w:val="0"/>
        <w:widowControl/>
        <w:kinsoku/>
        <w:wordWrap/>
        <w:overflowPunct/>
        <w:topLinePunct w:val="0"/>
        <w:autoSpaceDE/>
        <w:autoSpaceDN/>
        <w:bidi w:val="0"/>
        <w:adjustRightInd/>
        <w:snapToGrid/>
        <w:spacing w:after="0" w:line="440" w:lineRule="exact"/>
        <w:ind w:left="0" w:leftChars="0" w:firstLine="0" w:firstLineChars="0"/>
        <w:textAlignment w:val="auto"/>
        <w:rPr>
          <w:rFonts w:hint="eastAsia" w:ascii="仿宋" w:hAnsi="仿宋" w:eastAsia="仿宋" w:cs="仿宋"/>
          <w:sz w:val="24"/>
          <w:szCs w:val="28"/>
        </w:rPr>
      </w:pPr>
    </w:p>
    <w:p w14:paraId="0ED07D6E">
      <w:pPr>
        <w:pStyle w:val="21"/>
        <w:keepNext w:val="0"/>
        <w:keepLines w:val="0"/>
        <w:pageBreakBefore w:val="0"/>
        <w:widowControl/>
        <w:kinsoku/>
        <w:wordWrap/>
        <w:overflowPunct/>
        <w:topLinePunct w:val="0"/>
        <w:autoSpaceDE/>
        <w:autoSpaceDN/>
        <w:bidi w:val="0"/>
        <w:adjustRightInd/>
        <w:snapToGrid/>
        <w:spacing w:before="0" w:after="0" w:line="440" w:lineRule="exact"/>
        <w:ind w:left="0" w:leftChars="0" w:firstLine="0" w:firstLineChars="0"/>
        <w:jc w:val="both"/>
        <w:textAlignment w:val="auto"/>
        <w:rPr>
          <w:rFonts w:hint="default" w:ascii="Times New Roman" w:hAnsi="Times New Roman" w:eastAsia="仿宋" w:cs="Times New Roman"/>
          <w:sz w:val="24"/>
          <w:szCs w:val="24"/>
          <w:lang w:eastAsia="zh-CN"/>
        </w:rPr>
      </w:pPr>
      <w:r>
        <w:rPr>
          <w:rFonts w:hint="default" w:ascii="Times New Roman" w:hAnsi="Times New Roman" w:eastAsia="仿宋" w:cs="Times New Roman"/>
          <w:sz w:val="24"/>
          <w:szCs w:val="24"/>
          <w:lang w:eastAsia="zh-CN"/>
        </w:rPr>
        <w:t>点击链接或扫描二维码查看附件：</w:t>
      </w:r>
    </w:p>
    <w:p w14:paraId="5244055D">
      <w:pPr>
        <w:pStyle w:val="21"/>
        <w:keepNext w:val="0"/>
        <w:keepLines w:val="0"/>
        <w:pageBreakBefore w:val="0"/>
        <w:widowControl/>
        <w:kinsoku/>
        <w:wordWrap/>
        <w:overflowPunct/>
        <w:topLinePunct w:val="0"/>
        <w:autoSpaceDE/>
        <w:autoSpaceDN/>
        <w:bidi w:val="0"/>
        <w:adjustRightInd/>
        <w:snapToGrid/>
        <w:spacing w:before="0" w:after="0" w:line="440" w:lineRule="exact"/>
        <w:ind w:left="0" w:leftChars="0" w:firstLine="0" w:firstLineChars="0"/>
        <w:jc w:val="both"/>
        <w:textAlignment w:val="auto"/>
        <w:rPr>
          <w:rFonts w:hint="default" w:ascii="Times New Roman" w:hAnsi="Times New Roman" w:eastAsia="仿宋" w:cs="Times New Roman"/>
          <w:sz w:val="24"/>
          <w:szCs w:val="24"/>
          <w:lang w:eastAsia="zh-CN"/>
        </w:rPr>
      </w:pPr>
      <w:r>
        <w:rPr>
          <w:rFonts w:hint="default" w:ascii="Times New Roman" w:hAnsi="Times New Roman" w:eastAsia="仿宋" w:cs="Times New Roman"/>
          <w:sz w:val="24"/>
          <w:szCs w:val="24"/>
          <w:lang w:eastAsia="zh-CN"/>
        </w:rPr>
        <w:fldChar w:fldCharType="begin"/>
      </w:r>
      <w:r>
        <w:rPr>
          <w:rFonts w:hint="default" w:ascii="Times New Roman" w:hAnsi="Times New Roman" w:eastAsia="仿宋" w:cs="Times New Roman"/>
          <w:sz w:val="24"/>
          <w:szCs w:val="24"/>
          <w:lang w:eastAsia="zh-CN"/>
        </w:rPr>
        <w:instrText xml:space="preserve"> HYPERLINK "https://book.yunzhan365.com/uvrft/iaaz/mobile/index.html" </w:instrText>
      </w:r>
      <w:r>
        <w:rPr>
          <w:rFonts w:hint="default" w:ascii="Times New Roman" w:hAnsi="Times New Roman" w:eastAsia="仿宋" w:cs="Times New Roman"/>
          <w:sz w:val="24"/>
          <w:szCs w:val="24"/>
          <w:lang w:eastAsia="zh-CN"/>
        </w:rPr>
        <w:fldChar w:fldCharType="separate"/>
      </w:r>
      <w:r>
        <w:rPr>
          <w:rStyle w:val="136"/>
          <w:rFonts w:hint="default" w:ascii="Times New Roman" w:hAnsi="Times New Roman" w:eastAsia="仿宋" w:cs="Times New Roman"/>
          <w:sz w:val="24"/>
          <w:szCs w:val="24"/>
          <w:lang w:eastAsia="zh-CN"/>
        </w:rPr>
        <w:t>https://book.yunzhan365.com/uvrft/iaaz/mobile/index.html</w:t>
      </w:r>
      <w:r>
        <w:rPr>
          <w:rFonts w:hint="default" w:ascii="Times New Roman" w:hAnsi="Times New Roman" w:eastAsia="仿宋" w:cs="Times New Roman"/>
          <w:sz w:val="24"/>
          <w:szCs w:val="24"/>
          <w:lang w:eastAsia="zh-CN"/>
        </w:rPr>
        <w:fldChar w:fldCharType="end"/>
      </w:r>
    </w:p>
    <w:p w14:paraId="72862C9A">
      <w:pPr>
        <w:pStyle w:val="21"/>
        <w:keepNext w:val="0"/>
        <w:keepLines w:val="0"/>
        <w:pageBreakBefore w:val="0"/>
        <w:widowControl/>
        <w:kinsoku/>
        <w:wordWrap/>
        <w:overflowPunct/>
        <w:topLinePunct w:val="0"/>
        <w:autoSpaceDE/>
        <w:autoSpaceDN/>
        <w:bidi w:val="0"/>
        <w:adjustRightInd/>
        <w:snapToGrid/>
        <w:spacing w:before="0" w:after="0" w:line="440" w:lineRule="exact"/>
        <w:ind w:left="0" w:leftChars="0" w:firstLine="0" w:firstLineChars="0"/>
        <w:jc w:val="both"/>
        <w:textAlignment w:val="auto"/>
        <w:rPr>
          <w:rFonts w:hint="default" w:ascii="Times New Roman" w:hAnsi="Times New Roman" w:eastAsia="仿宋" w:cs="Times New Roman"/>
          <w:sz w:val="24"/>
          <w:szCs w:val="24"/>
          <w:lang w:eastAsia="zh-CN"/>
        </w:rPr>
      </w:pPr>
      <w:r>
        <w:rPr>
          <w:rFonts w:hint="default" w:ascii="Times New Roman" w:hAnsi="Times New Roman" w:eastAsia="仿宋" w:cs="Times New Roman"/>
          <w:sz w:val="24"/>
          <w:szCs w:val="24"/>
          <w:lang w:eastAsia="zh-CN"/>
        </w:rPr>
        <w:drawing>
          <wp:anchor distT="0" distB="0" distL="114300" distR="114300" simplePos="0" relativeHeight="251659264" behindDoc="0" locked="0" layoutInCell="1" allowOverlap="1">
            <wp:simplePos x="0" y="0"/>
            <wp:positionH relativeFrom="column">
              <wp:posOffset>-27305</wp:posOffset>
            </wp:positionH>
            <wp:positionV relativeFrom="paragraph">
              <wp:posOffset>41910</wp:posOffset>
            </wp:positionV>
            <wp:extent cx="1224280" cy="1224280"/>
            <wp:effectExtent l="0" t="0" r="10160" b="10160"/>
            <wp:wrapTopAndBottom/>
            <wp:docPr id="1" name="图片 1" descr="27寒UCL学术英语+学前与小学教育_数字教育主题项目-链接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7寒UCL学术英语+学前与小学教育_数字教育主题项目-链接二维码"/>
                    <pic:cNvPicPr>
                      <a:picLocks noChangeAspect="1"/>
                    </pic:cNvPicPr>
                  </pic:nvPicPr>
                  <pic:blipFill>
                    <a:blip r:embed="rId7"/>
                    <a:stretch>
                      <a:fillRect/>
                    </a:stretch>
                  </pic:blipFill>
                  <pic:spPr>
                    <a:xfrm>
                      <a:off x="0" y="0"/>
                      <a:ext cx="1224280" cy="1224280"/>
                    </a:xfrm>
                    <a:prstGeom prst="rect">
                      <a:avLst/>
                    </a:prstGeom>
                  </pic:spPr>
                </pic:pic>
              </a:graphicData>
            </a:graphic>
          </wp:anchor>
        </w:drawing>
      </w:r>
    </w:p>
    <w:p w14:paraId="3B601902">
      <w:pPr>
        <w:pStyle w:val="168"/>
        <w:keepLines w:val="0"/>
        <w:pageBreakBefore w:val="0"/>
        <w:widowControl/>
        <w:kinsoku/>
        <w:wordWrap/>
        <w:overflowPunct/>
        <w:topLinePunct w:val="0"/>
        <w:autoSpaceDE/>
        <w:autoSpaceDN/>
        <w:bidi w:val="0"/>
        <w:adjustRightInd/>
        <w:snapToGrid/>
        <w:spacing w:after="181" w:afterLines="50" w:line="440" w:lineRule="exact"/>
        <w:ind w:left="0" w:firstLine="0"/>
        <w:jc w:val="both"/>
        <w:textAlignment w:val="auto"/>
        <w:rPr>
          <w:rFonts w:hint="eastAsia" w:ascii="仿宋" w:hAnsi="仿宋" w:eastAsia="仿宋" w:cs="仿宋"/>
        </w:rPr>
      </w:pPr>
      <w:bookmarkStart w:id="0" w:name="_GoBack"/>
      <w:bookmarkEnd w:id="0"/>
    </w:p>
    <w:sectPr>
      <w:footerReference r:id="rId5" w:type="default"/>
      <w:pgSz w:w="11906" w:h="16838"/>
      <w:pgMar w:top="1361" w:right="1701" w:bottom="1304"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Noto Serif CJK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01D9F">
    <w:pPr>
      <w:pStyle w:val="26"/>
      <w:jc w:val="center"/>
    </w:pPr>
    <w:r>
      <w:rPr>
        <w:rFonts w:ascii="Noto Serif CJK SC" w:hAnsi="Noto Serif CJK SC" w:eastAsia="Noto Serif CJK SC"/>
        <w:b w:val="0"/>
        <w:color w:val="787878"/>
        <w:sz w:val="18"/>
      </w:rPr>
      <w:fldChar w:fldCharType="begin"/>
    </w:r>
    <w:r>
      <w:rPr>
        <w:rFonts w:ascii="Noto Serif CJK SC" w:hAnsi="Noto Serif CJK SC" w:eastAsia="Noto Serif CJK SC"/>
        <w:b w:val="0"/>
        <w:color w:val="787878"/>
        <w:sz w:val="18"/>
      </w:rPr>
      <w:instrText xml:space="preserve"> PAGE </w:instrText>
    </w:r>
    <w:r>
      <w:rPr>
        <w:rFonts w:ascii="Noto Serif CJK SC" w:hAnsi="Noto Serif CJK SC" w:eastAsia="Noto Serif CJK SC"/>
        <w:b w:val="0"/>
        <w:color w:val="787878"/>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CD7EDE"/>
    <w:multiLevelType w:val="singleLevel"/>
    <w:tmpl w:val="88CD7EDE"/>
    <w:lvl w:ilvl="0" w:tentative="0">
      <w:start w:val="1"/>
      <w:numFmt w:val="decimal"/>
      <w:lvlText w:val="(%1)"/>
      <w:lvlJc w:val="left"/>
      <w:pPr>
        <w:ind w:left="425" w:hanging="425"/>
      </w:pPr>
      <w:rPr>
        <w:rFonts w:hint="default"/>
      </w:rPr>
    </w:lvl>
  </w:abstractNum>
  <w:abstractNum w:abstractNumId="1">
    <w:nsid w:val="B08B1594"/>
    <w:multiLevelType w:val="singleLevel"/>
    <w:tmpl w:val="B08B1594"/>
    <w:lvl w:ilvl="0" w:tentative="0">
      <w:start w:val="1"/>
      <w:numFmt w:val="decimal"/>
      <w:lvlText w:val="%1."/>
      <w:lvlJc w:val="left"/>
      <w:pPr>
        <w:ind w:left="425" w:hanging="425"/>
      </w:pPr>
      <w:rPr>
        <w:rFonts w:hint="default"/>
      </w:rPr>
    </w:lvl>
  </w:abstractNum>
  <w:abstractNum w:abstractNumId="2">
    <w:nsid w:val="C09BF3EF"/>
    <w:multiLevelType w:val="singleLevel"/>
    <w:tmpl w:val="C09BF3EF"/>
    <w:lvl w:ilvl="0" w:tentative="0">
      <w:start w:val="1"/>
      <w:numFmt w:val="decimal"/>
      <w:lvlText w:val="%1."/>
      <w:lvlJc w:val="left"/>
      <w:pPr>
        <w:ind w:left="425" w:hanging="425"/>
      </w:pPr>
      <w:rPr>
        <w:rFonts w:hint="default"/>
      </w:rPr>
    </w:lvl>
  </w:abstractNum>
  <w:abstractNum w:abstractNumId="3">
    <w:nsid w:val="CEA9CEB0"/>
    <w:multiLevelType w:val="singleLevel"/>
    <w:tmpl w:val="CEA9CEB0"/>
    <w:lvl w:ilvl="0" w:tentative="0">
      <w:start w:val="1"/>
      <w:numFmt w:val="decimal"/>
      <w:suff w:val="nothing"/>
      <w:lvlText w:val="（%1）"/>
      <w:lvlJc w:val="left"/>
    </w:lvl>
  </w:abstractNum>
  <w:abstractNum w:abstractNumId="4">
    <w:nsid w:val="E33F5957"/>
    <w:multiLevelType w:val="singleLevel"/>
    <w:tmpl w:val="E33F5957"/>
    <w:lvl w:ilvl="0" w:tentative="0">
      <w:start w:val="1"/>
      <w:numFmt w:val="decimal"/>
      <w:lvlText w:val="%1."/>
      <w:lvlJc w:val="left"/>
      <w:pPr>
        <w:ind w:left="425" w:hanging="425"/>
      </w:pPr>
      <w:rPr>
        <w:rFonts w:hint="default" w:ascii="Times New Roman" w:hAnsi="Times New Roman" w:cs="Times New Roman"/>
      </w:rPr>
    </w:lvl>
  </w:abstractNum>
  <w:abstractNum w:abstractNumId="5">
    <w:nsid w:val="FFFFFF7E"/>
    <w:multiLevelType w:val="singleLevel"/>
    <w:tmpl w:val="FFFFFF7E"/>
    <w:lvl w:ilvl="0" w:tentative="0">
      <w:start w:val="1"/>
      <w:numFmt w:val="decimal"/>
      <w:pStyle w:val="22"/>
      <w:lvlText w:val="%1."/>
      <w:lvlJc w:val="left"/>
      <w:pPr>
        <w:tabs>
          <w:tab w:val="left" w:pos="1080"/>
        </w:tabs>
        <w:ind w:left="1080" w:hanging="360"/>
      </w:pPr>
    </w:lvl>
  </w:abstractNum>
  <w:abstractNum w:abstractNumId="6">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7">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8">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9">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10">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11">
    <w:nsid w:val="0DEEBEF8"/>
    <w:multiLevelType w:val="singleLevel"/>
    <w:tmpl w:val="0DEEBEF8"/>
    <w:lvl w:ilvl="0" w:tentative="0">
      <w:start w:val="1"/>
      <w:numFmt w:val="decimal"/>
      <w:suff w:val="nothing"/>
      <w:lvlText w:val="（%1）"/>
      <w:lvlJc w:val="left"/>
    </w:lvl>
  </w:abstractNum>
  <w:abstractNum w:abstractNumId="12">
    <w:nsid w:val="0ECC1944"/>
    <w:multiLevelType w:val="singleLevel"/>
    <w:tmpl w:val="0ECC1944"/>
    <w:lvl w:ilvl="0" w:tentative="0">
      <w:start w:val="1"/>
      <w:numFmt w:val="decimal"/>
      <w:lvlText w:val="(%1)"/>
      <w:lvlJc w:val="left"/>
      <w:pPr>
        <w:ind w:left="425" w:hanging="425"/>
      </w:pPr>
      <w:rPr>
        <w:rFonts w:hint="default"/>
      </w:rPr>
    </w:lvl>
  </w:abstractNum>
  <w:abstractNum w:abstractNumId="13">
    <w:nsid w:val="4152E017"/>
    <w:multiLevelType w:val="singleLevel"/>
    <w:tmpl w:val="4152E017"/>
    <w:lvl w:ilvl="0" w:tentative="0">
      <w:start w:val="1"/>
      <w:numFmt w:val="decimal"/>
      <w:lvlText w:val="%1."/>
      <w:lvlJc w:val="left"/>
      <w:pPr>
        <w:ind w:left="425" w:hanging="425"/>
      </w:pPr>
      <w:rPr>
        <w:rFonts w:hint="default"/>
      </w:rPr>
    </w:lvl>
  </w:abstractNum>
  <w:abstractNum w:abstractNumId="14">
    <w:nsid w:val="5950FB2F"/>
    <w:multiLevelType w:val="singleLevel"/>
    <w:tmpl w:val="5950FB2F"/>
    <w:lvl w:ilvl="0" w:tentative="0">
      <w:start w:val="3"/>
      <w:numFmt w:val="decimal"/>
      <w:suff w:val="nothing"/>
      <w:lvlText w:val="（%1）"/>
      <w:lvlJc w:val="left"/>
    </w:lvl>
  </w:abstractNum>
  <w:num w:numId="1">
    <w:abstractNumId w:val="6"/>
  </w:num>
  <w:num w:numId="2">
    <w:abstractNumId w:val="9"/>
  </w:num>
  <w:num w:numId="3">
    <w:abstractNumId w:val="10"/>
  </w:num>
  <w:num w:numId="4">
    <w:abstractNumId w:val="7"/>
  </w:num>
  <w:num w:numId="5">
    <w:abstractNumId w:val="5"/>
  </w:num>
  <w:num w:numId="6">
    <w:abstractNumId w:val="8"/>
  </w:num>
  <w:num w:numId="7">
    <w:abstractNumId w:val="13"/>
  </w:num>
  <w:num w:numId="8">
    <w:abstractNumId w:val="2"/>
  </w:num>
  <w:num w:numId="9">
    <w:abstractNumId w:val="12"/>
  </w:num>
  <w:num w:numId="10">
    <w:abstractNumId w:val="0"/>
  </w:num>
  <w:num w:numId="11">
    <w:abstractNumId w:val="14"/>
  </w:num>
  <w:num w:numId="12">
    <w:abstractNumId w:val="3"/>
  </w:num>
  <w:num w:numId="13">
    <w:abstractNumId w:val="11"/>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39375A"/>
    <w:rsid w:val="024737BC"/>
    <w:rsid w:val="030748D7"/>
    <w:rsid w:val="078660CC"/>
    <w:rsid w:val="0FFB485C"/>
    <w:rsid w:val="13946135"/>
    <w:rsid w:val="17B172B6"/>
    <w:rsid w:val="18C00279"/>
    <w:rsid w:val="1A1454C8"/>
    <w:rsid w:val="1F885A3E"/>
    <w:rsid w:val="29C279F5"/>
    <w:rsid w:val="30275F10"/>
    <w:rsid w:val="314E51C5"/>
    <w:rsid w:val="357D65D2"/>
    <w:rsid w:val="433230F1"/>
    <w:rsid w:val="49235F35"/>
    <w:rsid w:val="4E5A0F8C"/>
    <w:rsid w:val="50362CDE"/>
    <w:rsid w:val="564009F8"/>
    <w:rsid w:val="571903F8"/>
    <w:rsid w:val="59E40E01"/>
    <w:rsid w:val="616920E0"/>
    <w:rsid w:val="62430BFA"/>
    <w:rsid w:val="64D55986"/>
    <w:rsid w:val="6863673C"/>
    <w:rsid w:val="6B43768C"/>
    <w:rsid w:val="6B8359E9"/>
    <w:rsid w:val="6C6C4AED"/>
    <w:rsid w:val="6E0578B7"/>
    <w:rsid w:val="760360A4"/>
    <w:rsid w:val="78B6564F"/>
    <w:rsid w:val="7DDB1F4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360" w:lineRule="auto"/>
    </w:pPr>
    <w:rPr>
      <w:rFonts w:ascii="Noto Serif CJK SC" w:hAnsi="Noto Serif CJK SC" w:eastAsia="Noto Serif CJK SC" w:cstheme="minorBidi"/>
      <w:sz w:val="24"/>
      <w:szCs w:val="22"/>
      <w:lang w:val="en-US" w:eastAsia="en-US" w:bidi="ar-SA"/>
    </w:rPr>
  </w:style>
  <w:style w:type="paragraph" w:styleId="3">
    <w:name w:val="heading 1"/>
    <w:basedOn w:val="1"/>
    <w:next w:val="1"/>
    <w:link w:val="142"/>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3"/>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4"/>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5"/>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6"/>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7"/>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8"/>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50"/>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8"/>
    <w:unhideWhenUsed/>
    <w:qFormat/>
    <w:uiPriority w:val="99"/>
    <w:pPr>
      <w:spacing w:after="120"/>
    </w:pPr>
  </w:style>
  <w:style w:type="paragraph" w:styleId="20">
    <w:name w:val="Body Text Indent"/>
    <w:basedOn w:val="1"/>
    <w:next w:val="21"/>
    <w:semiHidden/>
    <w:unhideWhenUsed/>
    <w:qFormat/>
    <w:uiPriority w:val="99"/>
    <w:pPr>
      <w:spacing w:after="120"/>
      <w:ind w:left="420" w:leftChars="200"/>
    </w:pPr>
  </w:style>
  <w:style w:type="paragraph" w:styleId="21">
    <w:name w:val="Body Text First Indent 2"/>
    <w:basedOn w:val="20"/>
    <w:semiHidden/>
    <w:unhideWhenUsed/>
    <w:qFormat/>
    <w:uiPriority w:val="99"/>
    <w:pPr>
      <w:ind w:firstLine="420" w:firstLineChars="200"/>
    </w:pPr>
  </w:style>
  <w:style w:type="paragraph" w:styleId="22">
    <w:name w:val="List Number 3"/>
    <w:basedOn w:val="1"/>
    <w:unhideWhenUsed/>
    <w:uiPriority w:val="99"/>
    <w:pPr>
      <w:numPr>
        <w:ilvl w:val="0"/>
        <w:numId w:val="5"/>
      </w:numPr>
      <w:contextualSpacing/>
    </w:pPr>
  </w:style>
  <w:style w:type="paragraph" w:styleId="23">
    <w:name w:val="List 2"/>
    <w:basedOn w:val="1"/>
    <w:unhideWhenUsed/>
    <w:qFormat/>
    <w:uiPriority w:val="99"/>
    <w:pPr>
      <w:ind w:left="720" w:hanging="360"/>
      <w:contextualSpacing/>
    </w:pPr>
  </w:style>
  <w:style w:type="paragraph" w:styleId="24">
    <w:name w:val="List Continue"/>
    <w:basedOn w:val="1"/>
    <w:unhideWhenUsed/>
    <w:qFormat/>
    <w:uiPriority w:val="99"/>
    <w:pPr>
      <w:spacing w:after="120"/>
      <w:ind w:left="360"/>
      <w:contextualSpacing/>
    </w:pPr>
  </w:style>
  <w:style w:type="paragraph" w:styleId="25">
    <w:name w:val="List Bullet 2"/>
    <w:basedOn w:val="1"/>
    <w:unhideWhenUsed/>
    <w:qFormat/>
    <w:uiPriority w:val="99"/>
    <w:pPr>
      <w:numPr>
        <w:ilvl w:val="0"/>
        <w:numId w:val="6"/>
      </w:numPr>
      <w:contextualSpacing/>
    </w:pPr>
  </w:style>
  <w:style w:type="paragraph" w:styleId="26">
    <w:name w:val="footer"/>
    <w:basedOn w:val="1"/>
    <w:link w:val="140"/>
    <w:unhideWhenUsed/>
    <w:qFormat/>
    <w:uiPriority w:val="99"/>
    <w:pPr>
      <w:tabs>
        <w:tab w:val="center" w:pos="4680"/>
        <w:tab w:val="right" w:pos="9360"/>
      </w:tabs>
      <w:spacing w:after="0" w:line="240" w:lineRule="auto"/>
    </w:pPr>
  </w:style>
  <w:style w:type="paragraph" w:styleId="27">
    <w:name w:val="header"/>
    <w:basedOn w:val="1"/>
    <w:link w:val="139"/>
    <w:unhideWhenUsed/>
    <w:qFormat/>
    <w:uiPriority w:val="99"/>
    <w:pPr>
      <w:tabs>
        <w:tab w:val="center" w:pos="4680"/>
        <w:tab w:val="right" w:pos="9360"/>
      </w:tabs>
      <w:spacing w:after="0" w:line="240" w:lineRule="auto"/>
    </w:pPr>
  </w:style>
  <w:style w:type="paragraph" w:styleId="28">
    <w:name w:val="Subtitle"/>
    <w:basedOn w:val="1"/>
    <w:next w:val="1"/>
    <w:link w:val="14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Body Text 2"/>
    <w:basedOn w:val="1"/>
    <w:link w:val="149"/>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5"/>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FollowedHyperlink"/>
    <w:basedOn w:val="134"/>
    <w:qFormat/>
    <w:uiPriority w:val="0"/>
    <w:rPr>
      <w:color w:val="800080"/>
      <w:u w:val="single"/>
    </w:rPr>
  </w:style>
  <w:style w:type="character" w:styleId="137">
    <w:name w:val="Emphasis"/>
    <w:basedOn w:val="134"/>
    <w:qFormat/>
    <w:uiPriority w:val="20"/>
    <w:rPr>
      <w:i/>
      <w:iCs/>
    </w:rPr>
  </w:style>
  <w:style w:type="character" w:styleId="138">
    <w:name w:val="Hyperlink"/>
    <w:basedOn w:val="134"/>
    <w:qFormat/>
    <w:uiPriority w:val="0"/>
    <w:rPr>
      <w:color w:val="0000FF"/>
      <w:u w:val="single"/>
    </w:rPr>
  </w:style>
  <w:style w:type="character" w:customStyle="1" w:styleId="139">
    <w:name w:val="Header Char"/>
    <w:basedOn w:val="134"/>
    <w:link w:val="27"/>
    <w:qFormat/>
    <w:uiPriority w:val="99"/>
  </w:style>
  <w:style w:type="character" w:customStyle="1" w:styleId="140">
    <w:name w:val="Footer Char"/>
    <w:basedOn w:val="134"/>
    <w:link w:val="26"/>
    <w:qFormat/>
    <w:uiPriority w:val="99"/>
  </w:style>
  <w:style w:type="paragraph" w:styleId="1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2">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3">
    <w:name w:val="Heading 2 Char"/>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4">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5">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6">
    <w:name w:val="Subtitle Char"/>
    <w:basedOn w:val="134"/>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Body Text Char"/>
    <w:basedOn w:val="134"/>
    <w:link w:val="19"/>
    <w:qFormat/>
    <w:uiPriority w:val="99"/>
  </w:style>
  <w:style w:type="character" w:customStyle="1" w:styleId="149">
    <w:name w:val="Body Text 2 Char"/>
    <w:basedOn w:val="134"/>
    <w:link w:val="30"/>
    <w:qFormat/>
    <w:uiPriority w:val="99"/>
  </w:style>
  <w:style w:type="character" w:customStyle="1" w:styleId="150">
    <w:name w:val="Body Text 3 Char"/>
    <w:basedOn w:val="134"/>
    <w:link w:val="17"/>
    <w:qFormat/>
    <w:uiPriority w:val="99"/>
    <w:rPr>
      <w:sz w:val="16"/>
      <w:szCs w:val="16"/>
    </w:rPr>
  </w:style>
  <w:style w:type="character" w:customStyle="1" w:styleId="151">
    <w:name w:val="Macro Text Char"/>
    <w:basedOn w:val="134"/>
    <w:link w:val="2"/>
    <w:qFormat/>
    <w:uiPriority w:val="99"/>
    <w:rPr>
      <w:rFonts w:ascii="Courier" w:hAnsi="Courier"/>
      <w:sz w:val="20"/>
      <w:szCs w:val="20"/>
    </w:rPr>
  </w:style>
  <w:style w:type="paragraph" w:styleId="152">
    <w:name w:val="Quote"/>
    <w:basedOn w:val="1"/>
    <w:next w:val="1"/>
    <w:link w:val="153"/>
    <w:qFormat/>
    <w:uiPriority w:val="29"/>
    <w:rPr>
      <w:i/>
      <w:iCs/>
      <w:color w:val="000000" w:themeColor="text1"/>
      <w14:textFill>
        <w14:solidFill>
          <w14:schemeClr w14:val="tx1"/>
        </w14:solidFill>
      </w14:textFill>
    </w:rPr>
  </w:style>
  <w:style w:type="character" w:customStyle="1" w:styleId="153">
    <w:name w:val="Quote Char"/>
    <w:basedOn w:val="134"/>
    <w:link w:val="152"/>
    <w:qFormat/>
    <w:uiPriority w:val="29"/>
    <w:rPr>
      <w:i/>
      <w:iCs/>
      <w:color w:val="000000" w:themeColor="text1"/>
      <w14:textFill>
        <w14:solidFill>
          <w14:schemeClr w14:val="tx1"/>
        </w14:solidFill>
      </w14:textFill>
    </w:rPr>
  </w:style>
  <w:style w:type="character" w:customStyle="1" w:styleId="154">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5">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6">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7">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8">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9">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0">
    <w:name w:val="Intense Quote"/>
    <w:basedOn w:val="1"/>
    <w:next w:val="1"/>
    <w:link w:val="161"/>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1">
    <w:name w:val="Intense Quote Char"/>
    <w:basedOn w:val="134"/>
    <w:link w:val="160"/>
    <w:qFormat/>
    <w:uiPriority w:val="30"/>
    <w:rPr>
      <w:b/>
      <w:bCs/>
      <w:i/>
      <w:iCs/>
      <w:color w:val="4F81BD" w:themeColor="accent1"/>
      <w14:textFill>
        <w14:solidFill>
          <w14:schemeClr w14:val="accent1"/>
        </w14:solidFill>
      </w14:textFill>
    </w:rPr>
  </w:style>
  <w:style w:type="character" w:customStyle="1" w:styleId="162">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Intense Emphasis"/>
    <w:basedOn w:val="134"/>
    <w:qFormat/>
    <w:uiPriority w:val="21"/>
    <w:rPr>
      <w:b/>
      <w:bCs/>
      <w:i/>
      <w:iCs/>
      <w:color w:val="4F81BD" w:themeColor="accent1"/>
      <w14:textFill>
        <w14:solidFill>
          <w14:schemeClr w14:val="accent1"/>
        </w14:solidFill>
      </w14:textFill>
    </w:rPr>
  </w:style>
  <w:style w:type="character" w:customStyle="1" w:styleId="164">
    <w:name w:val="Subtle Reference"/>
    <w:basedOn w:val="134"/>
    <w:qFormat/>
    <w:uiPriority w:val="31"/>
    <w:rPr>
      <w:smallCaps/>
      <w:color w:val="C0504D" w:themeColor="accent2"/>
      <w:u w:val="single"/>
      <w14:textFill>
        <w14:solidFill>
          <w14:schemeClr w14:val="accent2"/>
        </w14:solidFill>
      </w14:textFill>
    </w:rPr>
  </w:style>
  <w:style w:type="character" w:customStyle="1" w:styleId="165">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6">
    <w:name w:val="Book Title"/>
    <w:basedOn w:val="134"/>
    <w:qFormat/>
    <w:uiPriority w:val="33"/>
    <w:rPr>
      <w:b/>
      <w:bCs/>
      <w:smallCaps/>
      <w:spacing w:val="5"/>
    </w:rPr>
  </w:style>
  <w:style w:type="paragraph" w:customStyle="1" w:styleId="167">
    <w:name w:val="TOC Heading"/>
    <w:basedOn w:val="3"/>
    <w:next w:val="1"/>
    <w:semiHidden/>
    <w:unhideWhenUsed/>
    <w:qFormat/>
    <w:uiPriority w:val="39"/>
    <w:pPr>
      <w:outlineLvl w:val="9"/>
    </w:pPr>
  </w:style>
  <w:style w:type="paragraph" w:customStyle="1" w:styleId="168">
    <w:name w:val="NoticeBody"/>
    <w:qFormat/>
    <w:uiPriority w:val="0"/>
    <w:pPr>
      <w:spacing w:after="0" w:line="360" w:lineRule="auto"/>
    </w:pPr>
    <w:rPr>
      <w:rFonts w:ascii="Noto Serif CJK SC" w:hAnsi="Noto Serif CJK SC" w:eastAsia="Noto Serif CJK SC" w:cstheme="minorBidi"/>
      <w:sz w:val="24"/>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3211</Words>
  <Characters>3463</Characters>
  <Lines>0</Lines>
  <Paragraphs>0</Paragraphs>
  <TotalTime>18</TotalTime>
  <ScaleCrop>false</ScaleCrop>
  <LinksUpToDate>false</LinksUpToDate>
  <CharactersWithSpaces>3486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DCN-卢艳粤</cp:lastModifiedBy>
  <dcterms:modified xsi:type="dcterms:W3CDTF">2026-10-09T02:25:39Z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eyJoZGlkIjoiZjM3MzZiZDUwMmY0ZTlhNjZjNTVhY2I5NDk3YmY3ODAiLCJ1c2VySWQiOiI0MDIwNTcwMjIifQ==</vt:lpwstr>
  </property>
  <property fmtid="{D5CDD505-2E9C-101B-9397-08002B2CF9AE}" pid="3" name="KSOProductBuildVer">
    <vt:lpwstr>2052-12.1.0.29161</vt:lpwstr>
  </property>
  <property fmtid="{D5CDD505-2E9C-101B-9397-08002B2CF9AE}" pid="4" name="ICV">
    <vt:lpwstr>E447622E646F4DD0918022037FA3CEAF_13</vt:lpwstr>
  </property>
</Properties>
</file>